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BF8F5" w14:textId="64A61719" w:rsidR="00D468FD" w:rsidRPr="00BD2148" w:rsidRDefault="00D468FD" w:rsidP="00D468FD">
      <w:pPr>
        <w:rPr>
          <w:rFonts w:ascii="Times New Roman" w:hAnsi="Times New Roman" w:cs="Times New Roman"/>
          <w:lang w:val="en-GB"/>
        </w:rPr>
      </w:pPr>
      <w:r w:rsidRPr="00BD2148">
        <w:rPr>
          <w:rFonts w:ascii="Times New Roman" w:hAnsi="Times New Roman" w:cs="Times New Roman"/>
          <w:b/>
          <w:bCs/>
          <w:lang w:val="en-GB"/>
        </w:rPr>
        <w:t>Title</w:t>
      </w:r>
      <w:r w:rsidRPr="00BD2148">
        <w:rPr>
          <w:rFonts w:ascii="Times New Roman" w:hAnsi="Times New Roman" w:cs="Times New Roman"/>
          <w:b/>
          <w:bCs/>
          <w:lang w:val="en-GB"/>
        </w:rPr>
        <w:t xml:space="preserve"> of presentation</w:t>
      </w:r>
      <w:r w:rsidRPr="00BD2148">
        <w:rPr>
          <w:rFonts w:ascii="Times New Roman" w:hAnsi="Times New Roman" w:cs="Times New Roman"/>
          <w:b/>
          <w:bCs/>
          <w:lang w:val="en-GB"/>
        </w:rPr>
        <w:t>:</w:t>
      </w:r>
      <w:r w:rsidRPr="00BD2148">
        <w:rPr>
          <w:rFonts w:ascii="Times New Roman" w:hAnsi="Times New Roman" w:cs="Times New Roman"/>
          <w:lang w:val="en-GB"/>
        </w:rPr>
        <w:t xml:space="preserve"> Beyond capitalism: The Model of Cooperativism as a systemic alternative towards economic democracy</w:t>
      </w:r>
    </w:p>
    <w:p w14:paraId="7D2ACA7B" w14:textId="77777777" w:rsidR="00D468FD" w:rsidRPr="00BD2148" w:rsidRDefault="00D468FD" w:rsidP="00D468FD">
      <w:pPr>
        <w:pStyle w:val="Standard"/>
        <w:spacing w:after="0" w:line="360" w:lineRule="auto"/>
        <w:jc w:val="both"/>
        <w:rPr>
          <w:rFonts w:ascii="Times New Roman" w:hAnsi="Times New Roman" w:cs="Times New Roman"/>
          <w:color w:val="000000" w:themeColor="text1"/>
          <w:sz w:val="24"/>
          <w:szCs w:val="24"/>
          <w:lang w:val="en-GB"/>
        </w:rPr>
      </w:pPr>
      <w:r w:rsidRPr="00BD2148">
        <w:rPr>
          <w:rFonts w:ascii="Times New Roman" w:hAnsi="Times New Roman" w:cs="Times New Roman"/>
          <w:b/>
          <w:bCs/>
          <w:color w:val="000000" w:themeColor="text1"/>
          <w:sz w:val="24"/>
          <w:szCs w:val="24"/>
          <w:lang w:val="en-GB"/>
        </w:rPr>
        <w:t xml:space="preserve">Author: </w:t>
      </w:r>
      <w:r w:rsidRPr="00BD2148">
        <w:rPr>
          <w:rFonts w:ascii="Times New Roman" w:hAnsi="Times New Roman" w:cs="Times New Roman"/>
          <w:color w:val="000000" w:themeColor="text1"/>
          <w:sz w:val="24"/>
          <w:szCs w:val="24"/>
          <w:lang w:val="en-GB"/>
        </w:rPr>
        <w:t>Stanislav Jurčišin</w:t>
      </w:r>
    </w:p>
    <w:p w14:paraId="6DA6DE12" w14:textId="77777777" w:rsidR="00D468FD" w:rsidRPr="00BD2148" w:rsidRDefault="00D468FD" w:rsidP="00D468FD">
      <w:pPr>
        <w:pStyle w:val="Standard"/>
        <w:spacing w:after="0" w:line="360" w:lineRule="auto"/>
        <w:rPr>
          <w:rFonts w:ascii="Times New Roman" w:hAnsi="Times New Roman" w:cs="Times New Roman"/>
          <w:color w:val="000000" w:themeColor="text1"/>
          <w:sz w:val="24"/>
          <w:szCs w:val="24"/>
          <w:lang w:val="en-GB"/>
        </w:rPr>
      </w:pPr>
      <w:r w:rsidRPr="00BD2148">
        <w:rPr>
          <w:rFonts w:ascii="Times New Roman" w:hAnsi="Times New Roman" w:cs="Times New Roman"/>
          <w:b/>
          <w:bCs/>
          <w:color w:val="000000" w:themeColor="text1"/>
          <w:sz w:val="24"/>
          <w:szCs w:val="24"/>
          <w:lang w:val="en-GB"/>
        </w:rPr>
        <w:t xml:space="preserve">Affiliation: </w:t>
      </w:r>
      <w:r w:rsidRPr="00BD2148">
        <w:rPr>
          <w:rFonts w:ascii="Times New Roman" w:hAnsi="Times New Roman" w:cs="Times New Roman"/>
          <w:color w:val="000000" w:themeColor="text1"/>
          <w:sz w:val="24"/>
          <w:szCs w:val="24"/>
          <w:lang w:val="en-GB"/>
        </w:rPr>
        <w:t>ISREP – Institute for Systemic Research in Economics and Psychology, Bardejov, Slovakia</w:t>
      </w:r>
    </w:p>
    <w:p w14:paraId="35A24F74" w14:textId="77777777" w:rsidR="00D468FD" w:rsidRPr="00BD2148" w:rsidRDefault="00D468FD" w:rsidP="00D468FD">
      <w:pPr>
        <w:pStyle w:val="Standard"/>
        <w:spacing w:after="0" w:line="360" w:lineRule="auto"/>
        <w:jc w:val="both"/>
        <w:rPr>
          <w:rFonts w:ascii="Times New Roman" w:hAnsi="Times New Roman" w:cs="Times New Roman"/>
          <w:color w:val="000000" w:themeColor="text1"/>
          <w:sz w:val="24"/>
          <w:szCs w:val="24"/>
          <w:lang w:val="en-GB"/>
        </w:rPr>
      </w:pPr>
      <w:r w:rsidRPr="00BD2148">
        <w:rPr>
          <w:rFonts w:ascii="Times New Roman" w:hAnsi="Times New Roman" w:cs="Times New Roman"/>
          <w:b/>
          <w:bCs/>
          <w:color w:val="000000" w:themeColor="text1"/>
          <w:sz w:val="24"/>
          <w:szCs w:val="24"/>
          <w:lang w:val="en-GB"/>
        </w:rPr>
        <w:t>ORCID:</w:t>
      </w:r>
      <w:r w:rsidRPr="00BD2148">
        <w:rPr>
          <w:rFonts w:ascii="Times New Roman" w:hAnsi="Times New Roman" w:cs="Times New Roman"/>
          <w:color w:val="000000" w:themeColor="text1"/>
          <w:sz w:val="24"/>
          <w:szCs w:val="24"/>
          <w:lang w:val="en-GB"/>
        </w:rPr>
        <w:t xml:space="preserve"> </w:t>
      </w:r>
      <w:hyperlink r:id="rId5" w:tgtFrame="_new" w:history="1">
        <w:r w:rsidRPr="00BD2148">
          <w:rPr>
            <w:rStyle w:val="Hypertextovprepojenie"/>
            <w:rFonts w:ascii="Times New Roman" w:hAnsi="Times New Roman" w:cs="Times New Roman"/>
            <w:color w:val="000000" w:themeColor="text1"/>
            <w:sz w:val="24"/>
            <w:szCs w:val="24"/>
            <w:lang w:val="en-GB"/>
          </w:rPr>
          <w:t>https://orcid.org/0009-0006-7927-2317</w:t>
        </w:r>
      </w:hyperlink>
    </w:p>
    <w:p w14:paraId="2ECED2CF" w14:textId="77777777" w:rsidR="00D468FD" w:rsidRPr="00BD2148" w:rsidRDefault="00D468FD" w:rsidP="00D468FD">
      <w:pPr>
        <w:pStyle w:val="Standard"/>
        <w:spacing w:after="0" w:line="360" w:lineRule="auto"/>
        <w:rPr>
          <w:rFonts w:ascii="Times New Roman" w:hAnsi="Times New Roman" w:cs="Times New Roman"/>
          <w:color w:val="000000" w:themeColor="text1"/>
          <w:sz w:val="24"/>
          <w:szCs w:val="24"/>
          <w:lang w:val="en-GB"/>
        </w:rPr>
      </w:pPr>
      <w:r w:rsidRPr="00BD2148">
        <w:rPr>
          <w:rFonts w:ascii="Times New Roman" w:hAnsi="Times New Roman" w:cs="Times New Roman"/>
          <w:b/>
          <w:bCs/>
          <w:color w:val="000000" w:themeColor="text1"/>
          <w:sz w:val="24"/>
          <w:szCs w:val="24"/>
          <w:lang w:val="en-GB"/>
        </w:rPr>
        <w:t>Corresponding author</w:t>
      </w:r>
      <w:r w:rsidRPr="00BD2148">
        <w:rPr>
          <w:rFonts w:ascii="Times New Roman" w:hAnsi="Times New Roman" w:cs="Times New Roman"/>
          <w:color w:val="000000" w:themeColor="text1"/>
          <w:sz w:val="24"/>
          <w:szCs w:val="24"/>
          <w:lang w:val="en-GB"/>
        </w:rPr>
        <w:t>: Stanislav Jurčišin (</w:t>
      </w:r>
      <w:hyperlink r:id="rId6" w:history="1">
        <w:r w:rsidRPr="00BD2148">
          <w:rPr>
            <w:rStyle w:val="Hypertextovprepojenie"/>
            <w:rFonts w:ascii="Times New Roman" w:hAnsi="Times New Roman" w:cs="Times New Roman"/>
            <w:color w:val="000000" w:themeColor="text1"/>
            <w:sz w:val="24"/>
            <w:szCs w:val="24"/>
            <w:lang w:val="en-GB"/>
          </w:rPr>
          <w:t>stanislav.jurcisin@isrep.org</w:t>
        </w:r>
      </w:hyperlink>
      <w:r w:rsidRPr="00BD2148">
        <w:rPr>
          <w:rFonts w:ascii="Times New Roman" w:hAnsi="Times New Roman" w:cs="Times New Roman"/>
          <w:sz w:val="24"/>
          <w:szCs w:val="24"/>
          <w:lang w:val="en-GB"/>
        </w:rPr>
        <w:t xml:space="preserve">, </w:t>
      </w:r>
      <w:hyperlink r:id="rId7" w:history="1">
        <w:r w:rsidRPr="00BD2148">
          <w:rPr>
            <w:rStyle w:val="Hypertextovprepojenie"/>
            <w:rFonts w:ascii="Times New Roman" w:hAnsi="Times New Roman" w:cs="Times New Roman"/>
            <w:color w:val="000000" w:themeColor="text1"/>
            <w:sz w:val="24"/>
            <w:szCs w:val="24"/>
            <w:lang w:val="en-GB"/>
          </w:rPr>
          <w:t>stanojurcisin11@gmail.com</w:t>
        </w:r>
      </w:hyperlink>
      <w:r w:rsidRPr="00BD2148">
        <w:rPr>
          <w:rFonts w:ascii="Times New Roman" w:hAnsi="Times New Roman" w:cs="Times New Roman"/>
          <w:color w:val="000000" w:themeColor="text1"/>
          <w:sz w:val="24"/>
          <w:szCs w:val="24"/>
          <w:lang w:val="en-GB"/>
        </w:rPr>
        <w:t xml:space="preserve"> )</w:t>
      </w:r>
    </w:p>
    <w:p w14:paraId="4F7A157B" w14:textId="77777777" w:rsidR="00D468FD" w:rsidRPr="00BD2148" w:rsidRDefault="00D468FD" w:rsidP="00D468FD">
      <w:pPr>
        <w:rPr>
          <w:rFonts w:ascii="Times New Roman" w:hAnsi="Times New Roman" w:cs="Times New Roman"/>
          <w:lang w:val="en-GB"/>
        </w:rPr>
      </w:pPr>
      <w:r w:rsidRPr="00BD2148">
        <w:rPr>
          <w:rFonts w:ascii="Times New Roman" w:hAnsi="Times New Roman" w:cs="Times New Roman"/>
          <w:b/>
          <w:bCs/>
          <w:lang w:val="en-GB"/>
        </w:rPr>
        <w:t>Keywords:</w:t>
      </w:r>
      <w:r w:rsidRPr="00BD2148">
        <w:rPr>
          <w:rFonts w:ascii="Times New Roman" w:hAnsi="Times New Roman" w:cs="Times New Roman"/>
          <w:lang w:val="en-GB"/>
        </w:rPr>
        <w:t xml:space="preserve"> Cooperativism; economic democracy; monetary reform; state-issued interest-free currency; systemic alternatives; post-capitalism.</w:t>
      </w:r>
    </w:p>
    <w:p w14:paraId="1996F810" w14:textId="77777777" w:rsidR="00D468FD" w:rsidRPr="00BD2148" w:rsidRDefault="00D468FD" w:rsidP="00D468FD">
      <w:pPr>
        <w:rPr>
          <w:rFonts w:ascii="Times New Roman" w:hAnsi="Times New Roman" w:cs="Times New Roman"/>
          <w:b/>
          <w:bCs/>
          <w:lang w:val="en-GB"/>
        </w:rPr>
      </w:pPr>
    </w:p>
    <w:p w14:paraId="4FB73243" w14:textId="77777777" w:rsidR="00D468FD" w:rsidRPr="00BD2148" w:rsidRDefault="00D468FD" w:rsidP="00D468FD">
      <w:pPr>
        <w:rPr>
          <w:rFonts w:ascii="Times New Roman" w:hAnsi="Times New Roman" w:cs="Times New Roman"/>
          <w:lang w:val="en-GB"/>
        </w:rPr>
      </w:pPr>
      <w:r w:rsidRPr="00BD2148">
        <w:rPr>
          <w:rFonts w:ascii="Times New Roman" w:hAnsi="Times New Roman" w:cs="Times New Roman"/>
          <w:b/>
          <w:bCs/>
          <w:lang w:val="en-GB"/>
        </w:rPr>
        <w:t>Abstract:</w:t>
      </w:r>
      <w:r w:rsidRPr="00BD2148">
        <w:rPr>
          <w:rFonts w:ascii="Times New Roman" w:hAnsi="Times New Roman" w:cs="Times New Roman"/>
          <w:lang w:val="en-GB"/>
        </w:rPr>
        <w:t xml:space="preserve"> </w:t>
      </w:r>
    </w:p>
    <w:p w14:paraId="421013E0" w14:textId="77777777" w:rsidR="00D468FD" w:rsidRPr="00BD2148" w:rsidRDefault="00D468FD" w:rsidP="00D468FD">
      <w:pPr>
        <w:rPr>
          <w:rFonts w:ascii="Times New Roman" w:hAnsi="Times New Roman" w:cs="Times New Roman"/>
          <w:lang w:val="en-GB"/>
        </w:rPr>
      </w:pPr>
      <w:r w:rsidRPr="00BD2148">
        <w:rPr>
          <w:rFonts w:ascii="Times New Roman" w:hAnsi="Times New Roman" w:cs="Times New Roman"/>
          <w:lang w:val="en-GB"/>
        </w:rPr>
        <w:t xml:space="preserve">Previous historical attempts to democratize the economic sphere have systematically failed due to the absence of an appropriate financial architecture, while monetary and financial reforms lacking a democratic ownership structure have likewise failed to ensure long-term macroeconomic stability. This presentation breaks through this analytical impasse by introducing cooperativism—a comprehensive, closed systemic model that explicitly integrates radical monetary reform with the foundational principles of economic democracy. </w:t>
      </w:r>
    </w:p>
    <w:p w14:paraId="7DD7428D" w14:textId="77777777" w:rsidR="00D468FD" w:rsidRPr="00BD2148" w:rsidRDefault="00D468FD" w:rsidP="00D468FD">
      <w:pPr>
        <w:rPr>
          <w:rFonts w:ascii="Times New Roman" w:hAnsi="Times New Roman" w:cs="Times New Roman"/>
          <w:lang w:val="en-GB"/>
        </w:rPr>
      </w:pPr>
      <w:r w:rsidRPr="00BD2148">
        <w:rPr>
          <w:rFonts w:ascii="Times New Roman" w:hAnsi="Times New Roman" w:cs="Times New Roman"/>
          <w:lang w:val="en-GB"/>
        </w:rPr>
        <w:t xml:space="preserve">In this talk, I will specifically address and deliver concrete solutions to the major, historically unresolved challenges of implementing a state-issued, interest-free currency. Chief among these is the heavily debated problem of a potential shortage of funds for long-term investment. I will demonstrate how the model of cooperativism effectively resolves this bottleneck through a two-fold architectural design. First, by proposing a structurally closed economic system, the model maximizes the elimination of capital leakage and ensures the efficient, continuous recycling of financial resources directly within the productive economy. Second, I will outline the expected fundamental structural changes the model introduces to the real estate market, which systematically compress the aggregate demand for long-term speculative credit. </w:t>
      </w:r>
    </w:p>
    <w:p w14:paraId="462114AE" w14:textId="77777777" w:rsidR="00D468FD" w:rsidRPr="00BD2148" w:rsidRDefault="00D468FD" w:rsidP="00D468FD">
      <w:pPr>
        <w:rPr>
          <w:rFonts w:ascii="Times New Roman" w:hAnsi="Times New Roman" w:cs="Times New Roman"/>
          <w:lang w:val="en-GB"/>
        </w:rPr>
      </w:pPr>
      <w:r w:rsidRPr="00BD2148">
        <w:rPr>
          <w:rFonts w:ascii="Times New Roman" w:hAnsi="Times New Roman" w:cs="Times New Roman"/>
          <w:lang w:val="en-GB"/>
        </w:rPr>
        <w:t xml:space="preserve">Ultimately, this presentation outlines a novel macroeconomic framework that directly combines sovereign money creation with the principles of co-ownership and strict individual responsibility. Moving away from purely utopian or abstract models, this study utilizes a rigorous historical-comparative method, synthesizing institutional theory with empirical experience. Attendees will be presented with a logically consistent, realistic roadmap for systemic economic transformation capable of securing both long-term stability and genuine equity. </w:t>
      </w:r>
    </w:p>
    <w:p w14:paraId="56607962" w14:textId="77777777" w:rsidR="00D468FD" w:rsidRPr="00BD2148" w:rsidRDefault="00D468FD" w:rsidP="003565E6">
      <w:pPr>
        <w:rPr>
          <w:rFonts w:ascii="Times New Roman" w:hAnsi="Times New Roman" w:cs="Times New Roman"/>
          <w:lang w:val="en-GB"/>
        </w:rPr>
      </w:pPr>
    </w:p>
    <w:p w14:paraId="6E4CDF17" w14:textId="77777777" w:rsidR="00D468FD" w:rsidRPr="00BD2148" w:rsidRDefault="00D468FD" w:rsidP="003565E6">
      <w:pPr>
        <w:rPr>
          <w:rFonts w:ascii="Times New Roman" w:hAnsi="Times New Roman" w:cs="Times New Roman"/>
          <w:lang w:val="en-GB"/>
        </w:rPr>
      </w:pPr>
    </w:p>
    <w:p w14:paraId="34E40CD6" w14:textId="6F0DB29E" w:rsidR="003565E6" w:rsidRPr="00BD2148" w:rsidRDefault="003565E6" w:rsidP="00D468FD">
      <w:pPr>
        <w:pStyle w:val="Odsekzoznamu"/>
        <w:numPr>
          <w:ilvl w:val="0"/>
          <w:numId w:val="1"/>
        </w:numPr>
        <w:rPr>
          <w:rFonts w:ascii="Times New Roman" w:hAnsi="Times New Roman" w:cs="Times New Roman"/>
          <w:b/>
          <w:bCs/>
          <w:lang w:val="en-GB"/>
        </w:rPr>
      </w:pPr>
      <w:r w:rsidRPr="00BD2148">
        <w:rPr>
          <w:rFonts w:ascii="Times New Roman" w:hAnsi="Times New Roman" w:cs="Times New Roman"/>
          <w:b/>
          <w:bCs/>
          <w:lang w:val="en-GB"/>
        </w:rPr>
        <w:lastRenderedPageBreak/>
        <w:t>Why Cooperativism? – The Systemic Problem</w:t>
      </w:r>
    </w:p>
    <w:p w14:paraId="2BCD2F15"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Contemporary economies face structural challenges that question the capacity of established economic models to provide long-term stability, equitable resource distribution, and sustainable development. Modern capitalism has generated substantial technological and productivity growth, but has also been associated with recurrent financial instability, rising indebtedness, concentration of wealth and economic power, and persistent inequality (Minsky, 1986; Piketty, 2015; Stiglitz, 2019). Historical socialist economies, by contrast, constrained private wealth concentration and achieved relatively high employment and financial stability, but suffered from central planning, weak incentives, limited political democracy, and inefficient resource allocation (Kornai, 1992; Ellman, 2014).</w:t>
      </w:r>
    </w:p>
    <w:p w14:paraId="7993FB16"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Cooperativism starts from the proposition that some persistent economic problems cannot be adequately addressed through corrective policies alone if their causes are embedded in the institutional architecture of the economic system (Jurčišin, 2015, 2024). Regulation, redistribution, welfare policies, and stronger labour protection can moderate undesirable outcomes, but they do not necessarily alter the mechanisms through which money, ownership, and economic power are structured.</w:t>
      </w:r>
    </w:p>
    <w:p w14:paraId="3D147F9E" w14:textId="0B800BA3"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objective is not to abolish markets or return to central planning, but to modify the institutional conditions under which markets operate. Cooperativism seeks to preserve competition, individual motivation, personal responsibility, and decentralized market coordination while reducing structural concentrations of economic power and strengthening monetary stability. Its principal objectives are to improve the allocation of resources toward productive contributors, democratize economic decision-making, and strengthen the relationship between contribution, responsibility, and reward (Jurčišin, 2025).</w:t>
      </w:r>
    </w:p>
    <w:p w14:paraId="5670975B"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proposed architecture rests on two mutually reinforcing pillars. The first is a state-issued, interest-free currency, separating money creation from commercial bank lending and reducing dependence on continuous credit expansion. This builds on the broader sovereign-money tradition associated with Fisher (1936), Huber and Robertson (2000), Benes and Kumhof (2012), and Huber (2017).</w:t>
      </w:r>
    </w:p>
    <w:p w14:paraId="386B586C" w14:textId="792E6D19"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 xml:space="preserve">The second pillar is economic democracy, implemented primarily through cooperative and related forms of democratic ownership. Cooperatives combine ownership, participation, and personal responsibility, particularly through the principle of </w:t>
      </w:r>
      <w:r w:rsidRPr="00BD2148">
        <w:rPr>
          <w:rFonts w:ascii="Times New Roman" w:hAnsi="Times New Roman" w:cs="Times New Roman"/>
          <w:i/>
          <w:iCs/>
          <w:lang w:val="en-GB"/>
        </w:rPr>
        <w:t>one member, one vote</w:t>
      </w:r>
      <w:r w:rsidRPr="00BD2148">
        <w:rPr>
          <w:rFonts w:ascii="Times New Roman" w:hAnsi="Times New Roman" w:cs="Times New Roman"/>
          <w:lang w:val="en-GB"/>
        </w:rPr>
        <w:t>. Existing cooperative systems demonstrate that such structures can operate within competitive market economies (Restakis, 2010; Cheney et al., 2014; Birchall, 20</w:t>
      </w:r>
      <w:r w:rsidR="0055405B">
        <w:rPr>
          <w:rFonts w:ascii="Times New Roman" w:hAnsi="Times New Roman" w:cs="Times New Roman"/>
          <w:lang w:val="en-GB"/>
        </w:rPr>
        <w:t>1</w:t>
      </w:r>
      <w:r w:rsidRPr="00BD2148">
        <w:rPr>
          <w:rFonts w:ascii="Times New Roman" w:hAnsi="Times New Roman" w:cs="Times New Roman"/>
          <w:lang w:val="en-GB"/>
        </w:rPr>
        <w:t>3).</w:t>
      </w:r>
    </w:p>
    <w:p w14:paraId="092C0353"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distinctive proposition of Cooperativism is that these two dimensions should not be treated independently. Monetary reform without broader economic democracy may preserve concentrated ownership and resource extraction, while democratic ownership operating within a debt-dependent monetary system remains exposed to existing financial pressures. Cooperativism therefore hypothesizes that monetary sovereignty and economic democracy can function as mutually reinforcing institutional mechanisms (Jurčišin, 2025).</w:t>
      </w:r>
    </w:p>
    <w:p w14:paraId="788843B1"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lastRenderedPageBreak/>
        <w:t>Cooperativism should consequently be understood not as an attempt to construct an economy outside the market, but as a proposal to redesign some of the institutional foundations of the market economy itself. The central research question is whether combining sovereign monetary issuance with substantially more democratic ownership can improve macroeconomic stability, economic democracy, and productive performance while preserving competition, motivation, and market coordination.</w:t>
      </w:r>
    </w:p>
    <w:p w14:paraId="47C6FC1D" w14:textId="77777777" w:rsidR="00FA0A06" w:rsidRPr="00BD2148" w:rsidRDefault="00FA0A06">
      <w:pPr>
        <w:rPr>
          <w:rFonts w:ascii="Times New Roman" w:hAnsi="Times New Roman" w:cs="Times New Roman"/>
          <w:lang w:val="en-GB"/>
        </w:rPr>
      </w:pPr>
    </w:p>
    <w:p w14:paraId="42814A5A" w14:textId="3E47CCBD" w:rsidR="00D468FD" w:rsidRPr="00BD2148" w:rsidRDefault="00FA0A06" w:rsidP="00D468FD">
      <w:pPr>
        <w:pStyle w:val="Odsekzoznamu"/>
        <w:numPr>
          <w:ilvl w:val="0"/>
          <w:numId w:val="1"/>
        </w:numPr>
        <w:rPr>
          <w:rFonts w:ascii="Times New Roman" w:hAnsi="Times New Roman" w:cs="Times New Roman"/>
          <w:b/>
          <w:bCs/>
          <w:lang w:val="en-GB"/>
        </w:rPr>
      </w:pPr>
      <w:r w:rsidRPr="00BD2148">
        <w:rPr>
          <w:rFonts w:ascii="Times New Roman" w:hAnsi="Times New Roman" w:cs="Times New Roman"/>
          <w:b/>
          <w:bCs/>
          <w:lang w:val="en-GB"/>
        </w:rPr>
        <w:t>First Pillar – State-Issued, Interest-Free Currency</w:t>
      </w:r>
    </w:p>
    <w:p w14:paraId="6314A1E4"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The first pillar of Cooperativism is a state-issued, interest-free currency designed to separate money creation from commercial bank lending and reduce the structural dependence of the economy on continuous credit expansion. The proposal builds on the historical evolution of monetary systems and on a long tradition of sovereign-money reform.</w:t>
      </w:r>
    </w:p>
    <w:p w14:paraId="29939F7E"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Monetary systems have undergone several fundamental transformations. Early monetary arrangements were predominantly based on precious metals, particularly gold, whose limited supply and physical properties contributed to long-term monetary stability. Gold was gradually supplemented and replaced by paper currencies backed by metallic reserves, while the development of banking introduced increasingly sophisticated forms of credit creation. Fractional-reserve banking emerged within this process, allowing banks to provide loans in excess of their immediately available reserves. Although this mechanism significantly increased the flexibility of the financial system, it also introduced an inherent vulnerability: banks could not simultaneously satisfy all depositors if confidence in the system collapsed (Eichengreen, 1996; Mishkin, 2019).</w:t>
      </w:r>
    </w:p>
    <w:p w14:paraId="1F5A5B53"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The twentieth century gradually transformed this arrangement into the modern fiat monetary system. The decisive step occurred in 1971, when the United States terminated the convertibility of the dollar into gold, completing the transition toward currencies without direct commodity backing (Eichengreen, 1996). In the contemporary system, commercial banks play a central role in creating money through lending. Consequently, a substantial part of the money supply enters circulation together with corresponding debt obligations.</w:t>
      </w:r>
    </w:p>
    <w:p w14:paraId="686E3B9E"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This mechanism provides monetary flexibility, but it also creates a close relationship between economic activity and credit expansion. If governments, firms, or households significantly reduce borrowing, monetary and financial conditions can tighten unless borrowing expands elsewhere. Over time, this may contribute to increasing public and private indebtedness and to financial cycles in which periods of credit expansion are followed by instability and deleveraging (Minsky, 1986; Keen, 2017; Wray, 2012). The global financial crisis of 2007–2008 demonstrated the systemic vulnerability of highly leveraged financial systems and required unprecedented interventions by central banks and governments to prevent wider financial collapse (Bernanke, 2015; Mishkin, 2019).</w:t>
      </w:r>
    </w:p>
    <w:p w14:paraId="67F20CA4"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 xml:space="preserve">Inflation represents another relevant dimension. Historical evidence cited in the underlying analysis indicates substantially lower average inflation during several periods based on metallic or gold-backed currencies than during the post-1971 fiat-money period. However, </w:t>
      </w:r>
      <w:r w:rsidRPr="00BD2148">
        <w:rPr>
          <w:rFonts w:ascii="Times New Roman" w:hAnsi="Times New Roman" w:cs="Times New Roman"/>
          <w:lang w:val="en-GB"/>
        </w:rPr>
        <w:lastRenderedPageBreak/>
        <w:t>this should not be interpreted as an argument for returning to the gold standard. Commodity-based monetary systems imposed important constraints on monetary flexibility and did not eliminate banking crises or financial instability. The relevant question is therefore whether the relative monetary stability associated with constrained money creation can be combined with the flexibility required by a modern growing economy.</w:t>
      </w:r>
    </w:p>
    <w:p w14:paraId="4BDBCD2A"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From this perspective, the experience of historical socialist economies provides an important, although controversial, reference point. These economies operated with state-issued monetary systems, administratively controlled credit, and strongly constrained financial speculation. For several decades, they experienced virtually no conventional banking panics or systemic failures of financial institutions comparable to those periodically observed in capitalist economies (Kornai, 1992; Ellman, 2014; Reinhart and Rogoff, 2009). Financial resources were also less exposed to several forms of leakage associated with private rent extraction, speculative capital flows, and offshore capital transfers.</w:t>
      </w:r>
    </w:p>
    <w:p w14:paraId="4A5A9914"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This experience nevertheless cannot be separated from the fundamental weaknesses of socialist economic organization. Central planning weakened market signals and economic incentives, while political centralization, insufficient personal responsibility, and limited adaptability contributed to inefficient resource allocation and technological stagnation (Kornai, 1992; Ellman, 2014). Cooperativism therefore does not propose the restoration of the socialist economic system. Instead, it asks whether some of its monetary stability can be reproduced within an open, democratic, and competitive market economy.</w:t>
      </w:r>
    </w:p>
    <w:p w14:paraId="10AF5F6C"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This question is not unique to Cooperativism. Proposals to separate money creation from private bank lending have a long intellectual history. One of the most influential was the Chicago Plan, developed during the Great Depression and associated particularly with Irving Fisher (1936). The proposal sought to establish full control over money creation and substantially reduce the ability of commercial banks to create money through credit expansion. Similar principles were later developed by Huber and Robertson (2000), who proposed a sovereign-money architecture adapted to modern electronic monetary systems.</w:t>
      </w:r>
    </w:p>
    <w:p w14:paraId="32EC6CD4"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The idea received renewed attention following the global financial crisis. Benes and Kumhof (2012), in an IMF working paper revisiting the Chicago Plan, modelled a monetary architecture based on much stronger public control over money creation and concluded that such a reform could potentially reduce both private and public debt while improving macroeconomic stability. Related proposals were subsequently developed by Positive Money in the United Kingdom, particularly through the work of Jackson and Dyson (2013), while Joseph Huber further developed the theoretical foundations of sovereign money (Huber, 2017).</w:t>
      </w:r>
    </w:p>
    <w:p w14:paraId="3317DC81"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Two important attempts to move the debate from theory toward public policy occurred in Iceland and Switzerland. Following the severe consequences of the 2008 financial crisis, Iceland considered a proposal to transfer money creation more directly to the central bank (Sigurjónsson, 2015). The proposal ultimately did not proceed to implementation, partly because of political caution and concerns regarding uncertainty and capital flight in a small open economy.</w:t>
      </w:r>
    </w:p>
    <w:p w14:paraId="35731263"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lastRenderedPageBreak/>
        <w:t>The most extensive public debate occurred in Switzerland through the 2018 Vollgeld referendum. The initiative proposed prohibiting commercial banks from creating money through lending and transferring exclusive control over monetary creation to the Swiss National Bank. Although the proposal was rejected, the debate was important because it exposed several practical and macroeconomic questions that any sovereign-money reform must address.</w:t>
      </w:r>
    </w:p>
    <w:p w14:paraId="1A952B6C"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Within Cooperativism, the proposed monetary architecture follows the same general sovereign-money principle but forms part of a broader institutional system. Currency would be issued exclusively by the state and introduced into circulation interest-free through public expenditure, with its quantity adjusted to developments in the real economy. Commercial banks would cease to function as creators of new money and would instead primarily operate as intermediaries between savers and investors. Transaction accounts would be protected within the monetary architecture, reducing the possibility that the failure of an individual commercial bank could threaten depositors or destabilize the wider payment system (Huber and Robertson, 2000; Jurčišin, 2015, 2024).</w:t>
      </w:r>
    </w:p>
    <w:p w14:paraId="67AF7E56"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The objective is therefore not simply monetary nationalization and certainly not a return to central planning. It is to establish sovereign money within a market economy. The state would control the creation of the currency, while decisions concerning production, consumption, investment, competition, and the allocation of most economic resources would remain decentralized and market-based.</w:t>
      </w:r>
    </w:p>
    <w:p w14:paraId="528E9A9C"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This distinction is essential. Cooperativism attempts to combine the monetary stability potentially associated with sovereign issuance with the mechanisms that historical socialist systems were unable to preserve effectively: market competition, individual motivation, decentralized decision-making, personal responsibility, and political democracy.</w:t>
      </w:r>
    </w:p>
    <w:p w14:paraId="43CE25B1"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However, sovereign money creates an important unresolved question. If commercial banks can no longer create new money through lending, where will sufficient long-term investment capital come from? This issue became one of the central objections raised during the Swiss Vollgeld debate and represents a critical test for any proposal seeking to replace fractional-reserve money creation. Cooperativism argues that this problem cannot be solved through monetary reform alone. Its solution requires the second pillar of the model—economic democracy and the transformation of ownership structures—which is examined in the following section.</w:t>
      </w:r>
    </w:p>
    <w:p w14:paraId="190A9ED4" w14:textId="77777777" w:rsidR="00FA0A06" w:rsidRPr="00BD2148" w:rsidRDefault="00FA0A06">
      <w:pPr>
        <w:rPr>
          <w:rFonts w:ascii="Times New Roman" w:hAnsi="Times New Roman" w:cs="Times New Roman"/>
          <w:lang w:val="en-GB"/>
        </w:rPr>
      </w:pPr>
    </w:p>
    <w:p w14:paraId="73DD2B33" w14:textId="79B55112" w:rsidR="007068FD" w:rsidRPr="00BD2148" w:rsidRDefault="007068FD" w:rsidP="007068FD">
      <w:pPr>
        <w:pStyle w:val="Odsekzoznamu"/>
        <w:numPr>
          <w:ilvl w:val="0"/>
          <w:numId w:val="1"/>
        </w:numPr>
        <w:rPr>
          <w:rFonts w:ascii="Times New Roman" w:hAnsi="Times New Roman" w:cs="Times New Roman"/>
          <w:b/>
          <w:bCs/>
          <w:lang w:val="en-GB"/>
        </w:rPr>
      </w:pPr>
      <w:r w:rsidRPr="00BD2148">
        <w:rPr>
          <w:rFonts w:ascii="Times New Roman" w:hAnsi="Times New Roman" w:cs="Times New Roman"/>
          <w:b/>
          <w:bCs/>
          <w:lang w:val="en-GB"/>
        </w:rPr>
        <w:t>Second Pillar – Economic Democracy and Cooperatives</w:t>
      </w:r>
    </w:p>
    <w:p w14:paraId="483C637F"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t>The second pillar of Cooperativism concerns the democratization of economic ownership and decision-making. A central problem of contemporary capitalism is the concentration of ownership and economic power. As wealth becomes increasingly concentrated, economic inequality can also translate into unequal decision-making power and political influence (Piketty, 2015, 2019).</w:t>
      </w:r>
    </w:p>
    <w:p w14:paraId="4FC1C8B7"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lastRenderedPageBreak/>
        <w:t>This raises a broader question about the relationship between political and economic democracy. Political democracy provides citizens with formal mechanisms of participation in public decision-making, while comparable democratic principles remain much less developed within the economic sphere. Individuals may therefore possess equal political rights while operating within economic institutions characterized by highly unequal ownership and decision-making power.</w:t>
      </w:r>
    </w:p>
    <w:p w14:paraId="583DFC8E"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t>Economic democracy can take different institutional forms, including employee ownership, codetermination, profit sharing, mutual enterprises, and worker cooperatives. Cooperativism focuses particularly on cooperatives because they combine three important elements: ownership, democratic participation, and personal responsibility. In contrast to conventional shareholder corporations, where voting power generally follows capital ownership, cooperatives can operate according to the principle of one member, one vote.</w:t>
      </w:r>
    </w:p>
    <w:p w14:paraId="5D0EB8E3"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t>This structure does not eliminate market discipline or individual responsibility. Cooperative members participate in ownership and decision-making while also bearing the economic consequences of those decisions. Cooperativism therefore understands cooperative ownership as a mechanism for combining economic democracy with responsibility, motivation, and market competition.</w:t>
      </w:r>
    </w:p>
    <w:p w14:paraId="18D7CC7C"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t>Importantly, cooperatives are not merely a theoretical alternative. Existing examples demonstrate that democratic ownership can operate successfully within competitive market economies. The Mondragón Cooperative Corporation in Spain has developed into a large network of enterprises operating across several sectors (Whyte &amp; Whyte, 1991; Cheney et al., 2014). Strong cooperative sectors have also developed in Emilia-Romagna and Québec, while German codetermination demonstrates that elements of employee participation can also be incorporated into conventional corporate structures (Restakis, 2010).</w:t>
      </w:r>
    </w:p>
    <w:p w14:paraId="29CC79BB"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t>Empirical research further indicates that worker participation and cooperative ownership are not necessarily associated with lower efficiency. Studies report competitive performance and, under appropriate institutional conditions, positive effects on productivity, employment stability, and organizational resilience (Dow, 2003; Pérotin, 2016).</w:t>
      </w:r>
    </w:p>
    <w:p w14:paraId="2466B5C1"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t>For Cooperativism, however, the importance of cooperatives extends beyond firm-level performance. Broader ownership can reduce the concentration of economic power, while retained profits and cooperative financial institutions can keep a greater proportion of economic resources within the productive cycle.</w:t>
      </w:r>
    </w:p>
    <w:p w14:paraId="13577725" w14:textId="77777777" w:rsidR="007068FD" w:rsidRPr="00BD2148" w:rsidRDefault="007068FD" w:rsidP="007068FD">
      <w:pPr>
        <w:rPr>
          <w:rFonts w:ascii="Times New Roman" w:hAnsi="Times New Roman" w:cs="Times New Roman"/>
          <w:lang w:val="en-GB"/>
        </w:rPr>
      </w:pPr>
      <w:r w:rsidRPr="00BD2148">
        <w:rPr>
          <w:rFonts w:ascii="Times New Roman" w:hAnsi="Times New Roman" w:cs="Times New Roman"/>
          <w:lang w:val="en-GB"/>
        </w:rPr>
        <w:t>At the same time, economic democracy alone is insufficient. Cooperatives operating within a conventional credit-based monetary system remain exposed to existing debt dynamics and financial instability. Conversely, sovereign monetary reform without changes in ownership may leave the concentration of economic resources largely unchanged.</w:t>
      </w:r>
    </w:p>
    <w:p w14:paraId="2195644A" w14:textId="3BF418D9" w:rsidR="00FA0A06" w:rsidRPr="00BD2148" w:rsidRDefault="007068FD">
      <w:pPr>
        <w:rPr>
          <w:rFonts w:ascii="Times New Roman" w:hAnsi="Times New Roman" w:cs="Times New Roman"/>
          <w:lang w:val="en-GB"/>
        </w:rPr>
      </w:pPr>
      <w:r w:rsidRPr="00BD2148">
        <w:rPr>
          <w:rFonts w:ascii="Times New Roman" w:hAnsi="Times New Roman" w:cs="Times New Roman"/>
          <w:lang w:val="en-GB"/>
        </w:rPr>
        <w:t>The central proposition of Cooperativism is therefore that the two pillars must operate together. Its systemic contribution lies not in sovereign money or cooperative ownership considered separately, but in their interaction.</w:t>
      </w:r>
    </w:p>
    <w:p w14:paraId="6AEFEEFC" w14:textId="7DEAD0D5" w:rsidR="00FA0A06" w:rsidRPr="00BD2148" w:rsidRDefault="00FA0A06" w:rsidP="00D468FD">
      <w:pPr>
        <w:pStyle w:val="Odsekzoznamu"/>
        <w:numPr>
          <w:ilvl w:val="0"/>
          <w:numId w:val="1"/>
        </w:numPr>
        <w:rPr>
          <w:rFonts w:ascii="Times New Roman" w:hAnsi="Times New Roman" w:cs="Times New Roman"/>
          <w:b/>
          <w:bCs/>
          <w:lang w:val="en-GB"/>
        </w:rPr>
      </w:pPr>
      <w:r w:rsidRPr="00BD2148">
        <w:rPr>
          <w:rFonts w:ascii="Times New Roman" w:hAnsi="Times New Roman" w:cs="Times New Roman"/>
          <w:b/>
          <w:bCs/>
          <w:lang w:val="en-GB"/>
        </w:rPr>
        <w:lastRenderedPageBreak/>
        <w:t>Why the Two Pillars Must Work Together</w:t>
      </w:r>
    </w:p>
    <w:p w14:paraId="2662582D" w14:textId="624A199F" w:rsidR="000D469E" w:rsidRPr="00BD2148" w:rsidRDefault="000D469E" w:rsidP="000D469E">
      <w:pPr>
        <w:rPr>
          <w:rFonts w:ascii="Times New Roman" w:hAnsi="Times New Roman" w:cs="Times New Roman"/>
          <w:lang w:val="en-GB"/>
        </w:rPr>
      </w:pPr>
      <w:r w:rsidRPr="00BD2148">
        <w:rPr>
          <w:rFonts w:ascii="Times New Roman" w:hAnsi="Times New Roman" w:cs="Times New Roman"/>
          <w:lang w:val="en-GB"/>
        </w:rPr>
        <w:t>The central contribution of Cooperativism lies not in either of its two pillars considered separately, but in their institutional interdependence. Proposals for economic democracy and proposals for sovereign monetary reform have existed for decades, but they have generally developed as separate traditions. Cooperativism argues that this separation represents an important limitation. Monetary reform without changes in ownership may leave the concentration of economic resources largely intact, while economic democracy operating within the existing debt-based monetary architecture remains exposed to many of the financial pressures and resource leakages characteristic of contemporary capitalism.</w:t>
      </w:r>
    </w:p>
    <w:p w14:paraId="25DD6A93" w14:textId="77777777" w:rsidR="000D469E" w:rsidRPr="00BD2148" w:rsidRDefault="000D469E" w:rsidP="000D469E">
      <w:pPr>
        <w:rPr>
          <w:rFonts w:ascii="Times New Roman" w:hAnsi="Times New Roman" w:cs="Times New Roman"/>
          <w:lang w:val="en-GB"/>
        </w:rPr>
      </w:pPr>
      <w:r w:rsidRPr="00BD2148">
        <w:rPr>
          <w:rFonts w:ascii="Times New Roman" w:hAnsi="Times New Roman" w:cs="Times New Roman"/>
          <w:lang w:val="en-GB"/>
        </w:rPr>
        <w:t>This distinction can be illustrated by comparison with previous models of economic democracy. Schweickart's model, for example, combines worker-managed enterprises with democratic mechanisms for investment (Schweickart, 2011). However, such approaches do not integrate a comprehensive transformation of money creation with democratic ownership. Cooperativism therefore treats monetary reform not as an additional policy instrument, but as a necessary component of a broader transformation of economic ownership and power.</w:t>
      </w:r>
    </w:p>
    <w:p w14:paraId="1EAE2C1D" w14:textId="3A4E5408" w:rsidR="00FA0A06" w:rsidRPr="00BD2148" w:rsidRDefault="00FA0A06" w:rsidP="000D469E">
      <w:pPr>
        <w:rPr>
          <w:rFonts w:ascii="Times New Roman" w:hAnsi="Times New Roman" w:cs="Times New Roman"/>
          <w:lang w:val="en-GB"/>
        </w:rPr>
      </w:pPr>
      <w:r w:rsidRPr="00BD2148">
        <w:rPr>
          <w:rFonts w:ascii="Times New Roman" w:hAnsi="Times New Roman" w:cs="Times New Roman"/>
          <w:lang w:val="en-GB"/>
        </w:rPr>
        <w:t>The opposite problem applies to sovereign-money reform implemented without economic democracy. Transferring money creation from commercial banks to a public monetary authority may constrain credit-driven monetary expansion and strengthen control over the money supply. However, this does not automatically alter the ownership of productive assets or the distribution of economic power. Profits and financial returns may continue to accumulate within concentrated ownership structures. From the perspective of Cooperativism, monetary sovereignty therefore needs to be accompanied by institutional arrangements that broaden ownership and recycle a greater proportion of economic resources within the productive economy.</w:t>
      </w:r>
    </w:p>
    <w:p w14:paraId="1ADF1A72"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The Vollgeld Problem: Financing Long-Term Investment</w:t>
      </w:r>
    </w:p>
    <w:p w14:paraId="7C064CF2"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The interaction between the two pillars becomes particularly important when considering one of the principal objections raised against the Swiss Vollgeld initiative of 2018. Vollgeld proposed prohibiting commercial banks from creating money through lending and transferring exclusive authority over money creation to the Swiss National Bank. One of the most important objections concerned the availability of long-term investment capital:</w:t>
      </w:r>
    </w:p>
    <w:p w14:paraId="18C2CF56"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Where would long-term investment capital come from if commercial banks could no longer create money through lending?</w:t>
      </w:r>
    </w:p>
    <w:p w14:paraId="0498CD9E"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 xml:space="preserve">Under a sovereign-money architecture, banks would principally lend resources previously obtained from savers rather than simultaneously creating new deposits when loans were issued. Long-term lending would therefore become more dependent on available savings and investment resources. Critics consequently argued that restricting commercial bank money creation could produce shortages of long-term financing, potentially constraining investment and economic growth. </w:t>
      </w:r>
    </w:p>
    <w:p w14:paraId="7514E2CA"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lastRenderedPageBreak/>
        <w:t>Cooperativism attempts to address this problem through several mutually reinforcing mechanisms.</w:t>
      </w:r>
    </w:p>
    <w:p w14:paraId="3D4D48A8"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 xml:space="preserve">First, profits are recycled within the system. Cooperative enterprises can retain part of their earnings for future investment, while profits generated by cooperative financial institutions can remain within the broader cooperative and productive network rather than being extracted primarily for external shareholders. This can contribute to the gradual creation of long-term reserves and investment funds. The accumulation of investment resources therefore becomes less dependent on continuous creation of new bank credit. </w:t>
      </w:r>
    </w:p>
    <w:p w14:paraId="58E936D0"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 xml:space="preserve">Second, the model does not necessarily require the complete elimination of maturity transformation. Regulatory coefficients could permit banks to allocate a defined proportion of available resources to long-term lending even where these resources are not fully matched by deposits of equivalent maturity. The appropriate parameters would need to be determined empirically and subjected to macroeconomic and financial stability testing. The objective is to preserve sufficient flexibility for long-term financing without recreating unrestricted credit expansion and the associated liquidity risks. </w:t>
      </w:r>
    </w:p>
    <w:p w14:paraId="05E8A4FB"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 xml:space="preserve">Third, cooperative banks constitute an important component of the architecture. Unlike conventional shareholder-owned financial institutions, cooperative banks can recycle returns from lending and investment back into the economic system. Cooperativism therefore extends monetary reform beyond the mechanism of money creation to the ownership structure of financial institutions themselves. This is intended to create a more closed monetary-financial cycle and reduce the leakage of financial returns into concentrated private wealth. </w:t>
      </w:r>
    </w:p>
    <w:p w14:paraId="490DD560"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 xml:space="preserve">Fourth, the state performs a stabilizing role, particularly during the transition toward the new system. Public stabilization funds could address temporary financing shortages or localized business failures without requiring unlimited monetary expansion. This does not imply permanent protection of inefficient enterprises. Economically unviable cooperatives would still be allowed to fail, preserving market selection and avoiding the soft budget constraints associated with historical socialist economies. </w:t>
      </w:r>
    </w:p>
    <w:p w14:paraId="32BF9373"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Together, these mechanisms address the supply side of the long-term financing problem. However, Cooperativism introduces an additional argument that was less prominent in the Vollgeld debate: the relevant question is not only how much long-term capital can be supplied, but also how much long-term private credit would actually be required under the new institutional architecture.</w:t>
      </w:r>
    </w:p>
    <w:p w14:paraId="7A8878DE" w14:textId="77777777" w:rsidR="00FA0A06" w:rsidRPr="00BD2148" w:rsidRDefault="00FA0A06" w:rsidP="00FA0A06">
      <w:pPr>
        <w:rPr>
          <w:rFonts w:ascii="Times New Roman" w:hAnsi="Times New Roman" w:cs="Times New Roman"/>
          <w:lang w:val="en-GB"/>
        </w:rPr>
      </w:pPr>
      <w:r w:rsidRPr="00BD2148">
        <w:rPr>
          <w:rFonts w:ascii="Times New Roman" w:hAnsi="Times New Roman" w:cs="Times New Roman"/>
          <w:lang w:val="en-GB"/>
        </w:rPr>
        <w:t>Housing and the Demand for Long-Term Credit</w:t>
      </w:r>
    </w:p>
    <w:p w14:paraId="175BD1C8" w14:textId="77777777" w:rsidR="00130217" w:rsidRPr="00BD2148" w:rsidRDefault="00130217" w:rsidP="00FA0A06">
      <w:pPr>
        <w:rPr>
          <w:rFonts w:ascii="Times New Roman" w:hAnsi="Times New Roman" w:cs="Times New Roman"/>
          <w:lang w:val="en-GB"/>
        </w:rPr>
      </w:pPr>
      <w:r w:rsidRPr="00BD2148">
        <w:rPr>
          <w:rFonts w:ascii="Times New Roman" w:hAnsi="Times New Roman" w:cs="Times New Roman"/>
          <w:lang w:val="en-GB"/>
        </w:rPr>
        <w:t xml:space="preserve">Housing is particularly important because residential mortgage lending constitutes one of the largest components of private-sector credit in advanced economies. The framework draws on evidence that mortgages account for approximately 45–75% of private-sector credit, together with research documenting a substantial deterioration in housing affordability in many post-socialist economies and literature linking credit expansion to real-estate price dynamics (Hegedüs, 2009, 2020; Jordà et al., 2014; Borio, 2014). Given the absence of harmonised historical measures of housing affordability, the analysis adopts a deliberately conservative </w:t>
      </w:r>
      <w:r w:rsidRPr="00BD2148">
        <w:rPr>
          <w:rFonts w:ascii="Times New Roman" w:hAnsi="Times New Roman" w:cs="Times New Roman"/>
          <w:lang w:val="en-GB"/>
        </w:rPr>
        <w:lastRenderedPageBreak/>
        <w:t xml:space="preserve">scenario in which housing affordability improves by a factor of three to four relative to current conditions. This is used as a calibration assumption rather than as an empirically observed historical ratio. </w:t>
      </w:r>
    </w:p>
    <w:p w14:paraId="2CA0F82E" w14:textId="1A98C2C0"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The potential effect on aggregate private-credit demand can be expressed using the following analytical approximation:</w:t>
      </w:r>
    </w:p>
    <w:p w14:paraId="365DC5EB"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100 × s × (1 − 1/k)</w:t>
      </w:r>
    </w:p>
    <w:p w14:paraId="467E8D9B"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where:</w:t>
      </w:r>
    </w:p>
    <w:p w14:paraId="000B46DC"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estimated percentage reduction in required private credit,</w:t>
      </w:r>
    </w:p>
    <w:p w14:paraId="4BAA0757"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s = assumed share of residential mortgage lending in total private-sector credit,</w:t>
      </w:r>
    </w:p>
    <w:p w14:paraId="54E86EE5"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k = assumed housing-affordability improvement factor.</w:t>
      </w:r>
    </w:p>
    <w:p w14:paraId="73F329F2"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The framework uses:</w:t>
      </w:r>
    </w:p>
    <w:p w14:paraId="529D1230"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0.45 ≤ s ≤ 0.75</w:t>
      </w:r>
    </w:p>
    <w:p w14:paraId="6ECF9D37"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and</w:t>
      </w:r>
    </w:p>
    <w:p w14:paraId="2DCF48C2"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3 ≤ k ≤ 4</w:t>
      </w:r>
    </w:p>
    <w:p w14:paraId="04270509"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For the lower-bound scenario:</w:t>
      </w:r>
    </w:p>
    <w:p w14:paraId="67F8D37A"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s = 0.45</w:t>
      </w:r>
    </w:p>
    <w:p w14:paraId="4FD5EBC7"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k = 3</w:t>
      </w:r>
    </w:p>
    <w:p w14:paraId="5CC2FFD1"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we obtain:</w:t>
      </w:r>
    </w:p>
    <w:p w14:paraId="3FDCDC8D"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100 × 0.45 × (1 − 1/3)</w:t>
      </w:r>
    </w:p>
    <w:p w14:paraId="1705EF15"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45 × 0.667</w:t>
      </w:r>
    </w:p>
    <w:p w14:paraId="59B1B4A5"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30%</w:t>
      </w:r>
    </w:p>
    <w:p w14:paraId="116C0ABE"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For the upper-bound scenario:</w:t>
      </w:r>
    </w:p>
    <w:p w14:paraId="78E4C49B"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s = 0.75</w:t>
      </w:r>
    </w:p>
    <w:p w14:paraId="7B57673D"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k = 4</w:t>
      </w:r>
    </w:p>
    <w:p w14:paraId="632095F4"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we obtain:</w:t>
      </w:r>
    </w:p>
    <w:p w14:paraId="7425A926"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100 × 0.75 × (1 − 1/4)</w:t>
      </w:r>
    </w:p>
    <w:p w14:paraId="63D70C24"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75 × 0.75</w:t>
      </w:r>
    </w:p>
    <w:p w14:paraId="4BF9AC4D"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56.25%</w:t>
      </w:r>
    </w:p>
    <w:p w14:paraId="4453DD0A"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 xml:space="preserve">The resulting scenario therefore indicates an approximate 30–55% reduction in aggregate private-credit demand. Since mortgage lending is predominantly long-term, the corresponding reduction in the demand for long-term private financing could be even larger. </w:t>
      </w:r>
    </w:p>
    <w:p w14:paraId="6053A505"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lastRenderedPageBreak/>
        <w:t>An intermediate scenario illustrates the mechanism. If residential mortgages represent 60% of private-sector credit and housing affordability improves by a factor of three:</w:t>
      </w:r>
    </w:p>
    <w:p w14:paraId="03EE893C"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100 × 0.60 × (1 − 1/3) = 40%</w:t>
      </w:r>
    </w:p>
    <w:p w14:paraId="71138328"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If the affordability factor increases to four:</w:t>
      </w:r>
    </w:p>
    <w:p w14:paraId="149B96DC"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p = 100 × 0.60 × (1 − 1/4) = 45%</w:t>
      </w:r>
    </w:p>
    <w:p w14:paraId="2FF73D2E"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These calculations should be interpreted strictly as scenario calibrations rather than empirical forecasts. They do not imply that the introduction of Cooperativism would automatically reduce private-credit demand by 30–55%. Rather, they illustrate the potential magnitude of one transmission mechanism under deliberately conservative assumptions. The actual effect would have to be determined through empirical calibration, sensitivity analysis, and simulation.</w:t>
      </w:r>
    </w:p>
    <w:p w14:paraId="3AF2DD96"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 xml:space="preserve">The mechanism nevertheless has a theoretical and empirical basis. Research on post-socialist housing systems documents a substantial deterioration in housing affordability following the transition toward market-based housing finance (Hegedüs, 2009, 2020). At the same time, the sovereign-money and financial-cycle literature suggests that limiting money creation through commercial-bank lending may reduce speculative credit expansion and mitigate asset-price inflation, particularly in real-estate markets (Fisher, 1936; Benes &amp; Kumhof, 2012; Borio, 2014; Huber, 2017; Jackson &amp; Dyson, 2013). </w:t>
      </w:r>
    </w:p>
    <w:p w14:paraId="122B8F19"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 xml:space="preserve">An additional supporting consideration is long-term labour-productivity growth. Under otherwise unchanged institutional conditions, productivity improvements would normally be expected to contribute to greater affordability of basic goods and services. The scenario therefore combines several complementary sources of evidence rather than relying on a single historical benchmark. </w:t>
      </w:r>
    </w:p>
    <w:p w14:paraId="2C1D7020"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This demand-side mechanism changes the interpretation of the Vollgeld objection. If a different monetary and institutional architecture substantially reduces the amount of credit required for housing, a sovereign-money system would not necessarily need to reproduce the existing volume of private credit. The long-term financing problem can therefore be approached from two directions simultaneously: reducing structurally elevated credit demand and increasing the recycling of existing financial resources into productive investment.</w:t>
      </w:r>
    </w:p>
    <w:p w14:paraId="00633E64" w14:textId="77777777" w:rsidR="00BD2148" w:rsidRPr="00EF56CE" w:rsidRDefault="00BD2148" w:rsidP="00BD2148">
      <w:pPr>
        <w:rPr>
          <w:rFonts w:ascii="Times New Roman" w:hAnsi="Times New Roman" w:cs="Times New Roman"/>
          <w:i/>
          <w:iCs/>
          <w:lang w:val="en-GB"/>
        </w:rPr>
      </w:pPr>
      <w:r w:rsidRPr="00EF56CE">
        <w:rPr>
          <w:rFonts w:ascii="Times New Roman" w:hAnsi="Times New Roman" w:cs="Times New Roman"/>
          <w:i/>
          <w:iCs/>
          <w:lang w:val="en-GB"/>
        </w:rPr>
        <w:t>The Systemic Interaction of the Two Pillars</w:t>
      </w:r>
    </w:p>
    <w:p w14:paraId="7A5D2FBB"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This brings the analysis back to the central hypothesis of Cooperativism. Monetary reform alone is insufficient because changing the mechanism of money creation does not automatically transform the ownership and distribution of economic resources. Economic democracy alone is also insufficient because democratic enterprises remain embedded in the existing monetary and financial architecture.</w:t>
      </w:r>
    </w:p>
    <w:p w14:paraId="63FD1BFC" w14:textId="77777777" w:rsidR="00BD2148" w:rsidRPr="00EF56CE" w:rsidRDefault="00BD2148" w:rsidP="00BD2148">
      <w:pPr>
        <w:rPr>
          <w:rFonts w:ascii="Times New Roman" w:hAnsi="Times New Roman" w:cs="Times New Roman"/>
          <w:i/>
          <w:iCs/>
          <w:lang w:val="en-GB"/>
        </w:rPr>
      </w:pPr>
      <w:r w:rsidRPr="00EF56CE">
        <w:rPr>
          <w:rFonts w:ascii="Times New Roman" w:hAnsi="Times New Roman" w:cs="Times New Roman"/>
          <w:i/>
          <w:iCs/>
          <w:lang w:val="en-GB"/>
        </w:rPr>
        <w:t>The two pillars are therefore designed to reinforce one another.</w:t>
      </w:r>
    </w:p>
    <w:p w14:paraId="00276EF0"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 xml:space="preserve">Sovereign money may constrain speculative credit creation and reduce dependence on continuous debt expansion. Cooperative and democratic ownership may, in turn, retain a </w:t>
      </w:r>
      <w:r w:rsidRPr="00BD2148">
        <w:rPr>
          <w:rFonts w:ascii="Times New Roman" w:hAnsi="Times New Roman" w:cs="Times New Roman"/>
          <w:lang w:val="en-GB"/>
        </w:rPr>
        <w:lastRenderedPageBreak/>
        <w:t xml:space="preserve">larger proportion of economic surpluses within the productive economy. Empirical evidence indicates that worker cooperatives retain substantial proportions of profits within firms and show no systematic tendency toward underinvestment; comparative studies report investment rates comparable to or higher than those of conventional firms in several sectors (Pérotin, 2015; Zevi, 2005). </w:t>
      </w:r>
    </w:p>
    <w:p w14:paraId="03D79F3E"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 xml:space="preserve">This creates the second side of the long-term financing mechanism. Lower housing-related credit demand reduces the amount of financing that must be provided, while profit recycling, retained earnings, long-term investment funds, and regulated maturity transformation increase the resources available for productive investment. The framework subsequently treats long-term investment funds and limited maturity transformation as mechanisms whose parameters must be determined through stress testing and simulation rather than fixed in advance. </w:t>
      </w:r>
    </w:p>
    <w:p w14:paraId="0204CDE4"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The central proposition is therefore not that sovereign money or cooperative ownership is sufficient independently. Rather, Cooperativism hypothesizes that their interaction may create a more internally consistent financial architecture: monetary reform reduces dependence on debt-based money creation, while democratic ownership and profit recycling help generate investment resources within the economy itself.</w:t>
      </w:r>
    </w:p>
    <w:p w14:paraId="06839845" w14:textId="77777777" w:rsidR="00BD2148" w:rsidRPr="00BD2148" w:rsidRDefault="00BD2148" w:rsidP="00BD2148">
      <w:pPr>
        <w:rPr>
          <w:rFonts w:ascii="Times New Roman" w:hAnsi="Times New Roman" w:cs="Times New Roman"/>
          <w:lang w:val="en-GB"/>
        </w:rPr>
      </w:pPr>
      <w:r w:rsidRPr="00BD2148">
        <w:rPr>
          <w:rFonts w:ascii="Times New Roman" w:hAnsi="Times New Roman" w:cs="Times New Roman"/>
          <w:lang w:val="en-GB"/>
        </w:rPr>
        <w:t>Whether this interaction actually produces the expected effects on credit demand, investment capacity, financial stability, and broader macroeconomic performance remains an empirical question. These mechanisms are therefore treated as hypotheses to be evaluated through the subsequent testing framework rather than as predetermined outcomes.</w:t>
      </w:r>
    </w:p>
    <w:p w14:paraId="7B6402EF" w14:textId="77777777" w:rsidR="00BD2148" w:rsidRPr="00BD2148" w:rsidRDefault="00BD2148" w:rsidP="00BD2148">
      <w:pPr>
        <w:rPr>
          <w:rFonts w:ascii="Times New Roman" w:hAnsi="Times New Roman" w:cs="Times New Roman"/>
          <w:lang w:val="en-GB"/>
        </w:rPr>
      </w:pPr>
    </w:p>
    <w:p w14:paraId="01384469" w14:textId="65A225CC" w:rsidR="003565E6" w:rsidRPr="00BD2148" w:rsidRDefault="003565E6" w:rsidP="00BD2148">
      <w:pPr>
        <w:pStyle w:val="Odsekzoznamu"/>
        <w:numPr>
          <w:ilvl w:val="0"/>
          <w:numId w:val="1"/>
        </w:numPr>
        <w:rPr>
          <w:rFonts w:ascii="Times New Roman" w:hAnsi="Times New Roman" w:cs="Times New Roman"/>
          <w:b/>
          <w:bCs/>
          <w:lang w:val="en-GB"/>
        </w:rPr>
      </w:pPr>
      <w:r w:rsidRPr="00BD2148">
        <w:rPr>
          <w:rFonts w:ascii="Times New Roman" w:hAnsi="Times New Roman" w:cs="Times New Roman"/>
          <w:b/>
          <w:bCs/>
          <w:lang w:val="en-GB"/>
        </w:rPr>
        <w:t>Macroeconomic Implications, Testing and Conclusion</w:t>
      </w:r>
    </w:p>
    <w:p w14:paraId="66A52EC8"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institutional architecture of Cooperativism has broader implications for interest-rate formation, debt dynamics, inflation, employment, financial stability, productivity, and the distribution of economic power. These outcomes should not be treated as predetermined consequences of the model, but as hypotheses requiring systematic testing.</w:t>
      </w:r>
    </w:p>
    <w:p w14:paraId="6A00A92A"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One expected effect concerns the formation of a more market-based interest rate. In the proposed sovereign-money architecture, commercial banks would primarily intermediate existing financial resources rather than create new money through lending. Interest rates could therefore reflect more directly the relationship between savings and productive investment demand. The integration of cooperative banks is intended to strengthen competition and reduce the risk of cartel-like behaviour in financial markets (Fisher, 1936; Benes and Kumhof, 2012; Huber, 2017).</w:t>
      </w:r>
    </w:p>
    <w:p w14:paraId="366694E3"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 xml:space="preserve">A second implication concerns debt accumulation and macroeconomic stability. By separating money creation from bank lending, economic expansion would no longer require the same degree of continuous credit expansion. Debt would remain an important economic instrument, but the monetary system itself would become less structurally dependent on rising indebtedness. Sovereign-money proposals have also been associated with lower inflationary pressures and greater financial stability, although these effects depend on the institutional </w:t>
      </w:r>
      <w:r w:rsidRPr="00BD2148">
        <w:rPr>
          <w:rFonts w:ascii="Times New Roman" w:hAnsi="Times New Roman" w:cs="Times New Roman"/>
          <w:lang w:val="en-GB"/>
        </w:rPr>
        <w:lastRenderedPageBreak/>
        <w:t>design and discipline of monetary issuance (Huber and Robertson, 2000; Jackson and Dyson, 2013). The broader ambition is to create conditions compatible with high employment and long-term macroeconomic stability.</w:t>
      </w:r>
    </w:p>
    <w:p w14:paraId="186AA022"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model is also connected to the broader concept of Macroeconomic Democracy. This concept extends economic democracy beyond individual enterprises and examines the institutional organization of the economy as a whole. It focuses on the extent to which economic positions, rewards, and decision-making power are shaped by productive contribution, responsibility, participation, and accountability rather than inherited privilege, concentrated ownership, or protected economic power. Within the developing framework, Macroeconomic Democracy is treated as a measurable institutional characteristic linking ownership structures, governance, productivity, inequality, and the long-term relationship between the rate of return on capital and economic growth.</w:t>
      </w:r>
    </w:p>
    <w:p w14:paraId="4D8DFFC2"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research programme is explicitly interdisciplinary, combining macroeconomics with group psychology and behavioural analysis. The objective is to investigate how institutional structures influence not only financial and economic outcomes, but also behaviour within organizations. Mechanisms such as ostracism, interpretive dominance, feedback suppression, cooperation, and concentration of power may influence organizational efficiency and productivity. These behavioural mechanisms are therefore treated as testable components rather than as assumptions.</w:t>
      </w:r>
    </w:p>
    <w:p w14:paraId="5B999349"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next stage of the project is systematic testing through an integrated methodological framework. The framework combines Stock-Flow Consistent modelling, institutional modelling, Agent-Based Modelling, stability and resilience analysis, and behavioural modelling. SFC models are used to evaluate monetary flows, sectoral balances, debt dynamics, and investment financing. Institutional modelling examines the effects of alternative ownership and governance structures. ABM allows heterogeneous agents to interact under different institutional conditions, while stress testing is used to identify stability boundaries in areas such as liquidity management, investment financing, reserve requirements, profit recycling, and maturity transformation.</w:t>
      </w:r>
    </w:p>
    <w:p w14:paraId="2DB4413F"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The methodological architecture is deliberately modular. Individual components can be developed and validated separately before being integrated into a broader testing environment. The objective is not only to evaluate Cooperativism, but also to create a transferable framework for comparing alternative macroeconomic architectures under consistent and reproducible conditions.</w:t>
      </w:r>
    </w:p>
    <w:p w14:paraId="7737CCAC"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Cooperativism should therefore not be presented as a finished or proven economic system. It is more appropriately understood as a systemic hypothesis about an alternative macroeconomic architecture. Its central proposition is that sovereign monetary issuance and economic democracy may generate more stable and productive outcomes when implemented together than when either is introduced separately.</w:t>
      </w:r>
    </w:p>
    <w:p w14:paraId="32B3EAEE"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 xml:space="preserve">The decisive question is therefore empirical: whether the proposed interaction between monetary reform, democratic ownership, market competition, and behavioural mechanisms </w:t>
      </w:r>
      <w:r w:rsidRPr="00BD2148">
        <w:rPr>
          <w:rFonts w:ascii="Times New Roman" w:hAnsi="Times New Roman" w:cs="Times New Roman"/>
          <w:lang w:val="en-GB"/>
        </w:rPr>
        <w:lastRenderedPageBreak/>
        <w:t>actually produces the expected effects on stability, debt, productivity, inequality, and economic resilience.</w:t>
      </w:r>
    </w:p>
    <w:p w14:paraId="3B487D76" w14:textId="77777777" w:rsidR="003565E6" w:rsidRPr="00BD2148" w:rsidRDefault="003565E6" w:rsidP="003565E6">
      <w:pPr>
        <w:rPr>
          <w:rFonts w:ascii="Times New Roman" w:hAnsi="Times New Roman" w:cs="Times New Roman"/>
          <w:lang w:val="en-GB"/>
        </w:rPr>
      </w:pPr>
      <w:r w:rsidRPr="00BD2148">
        <w:rPr>
          <w:rFonts w:ascii="Times New Roman" w:hAnsi="Times New Roman" w:cs="Times New Roman"/>
          <w:lang w:val="en-GB"/>
        </w:rPr>
        <w:t>Cooperativism is therefore not presented as a proven alternative, but as a systemic architecture that can now be systematically tested.</w:t>
      </w:r>
    </w:p>
    <w:p w14:paraId="5F822707" w14:textId="77777777" w:rsidR="00FA0A06" w:rsidRPr="00BD2148" w:rsidRDefault="00FA0A06" w:rsidP="00FA0A06">
      <w:pPr>
        <w:rPr>
          <w:rFonts w:ascii="Times New Roman" w:hAnsi="Times New Roman" w:cs="Times New Roman"/>
          <w:lang w:val="en-GB"/>
        </w:rPr>
      </w:pPr>
    </w:p>
    <w:p w14:paraId="79D3A093" w14:textId="77777777" w:rsidR="000D469E" w:rsidRPr="00BD2148" w:rsidRDefault="000D469E" w:rsidP="00FA0A06">
      <w:pPr>
        <w:rPr>
          <w:rFonts w:ascii="Times New Roman" w:hAnsi="Times New Roman" w:cs="Times New Roman"/>
          <w:lang w:val="en-GB"/>
        </w:rPr>
      </w:pPr>
    </w:p>
    <w:p w14:paraId="4F2B90EE" w14:textId="77777777" w:rsidR="00130217" w:rsidRPr="00BD2148" w:rsidRDefault="00130217" w:rsidP="00130217">
      <w:pPr>
        <w:rPr>
          <w:rFonts w:ascii="Times New Roman" w:hAnsi="Times New Roman" w:cs="Times New Roman"/>
          <w:b/>
          <w:bCs/>
          <w:lang w:val="en-GB"/>
        </w:rPr>
      </w:pPr>
      <w:r w:rsidRPr="00BD2148">
        <w:rPr>
          <w:rFonts w:ascii="Times New Roman" w:hAnsi="Times New Roman" w:cs="Times New Roman"/>
          <w:b/>
          <w:bCs/>
          <w:lang w:val="en-GB"/>
        </w:rPr>
        <w:t>References</w:t>
      </w:r>
    </w:p>
    <w:p w14:paraId="5563DB0B"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Benes, J., &amp; Kumhof, M. (2012). </w:t>
      </w:r>
      <w:r w:rsidRPr="00BD2148">
        <w:rPr>
          <w:rFonts w:ascii="Times New Roman" w:hAnsi="Times New Roman" w:cs="Times New Roman"/>
          <w:i/>
          <w:iCs/>
          <w:lang w:val="en-GB"/>
        </w:rPr>
        <w:t>The Chicago Plan revisited</w:t>
      </w:r>
      <w:r w:rsidRPr="00BD2148">
        <w:rPr>
          <w:rFonts w:ascii="Times New Roman" w:hAnsi="Times New Roman" w:cs="Times New Roman"/>
          <w:lang w:val="en-GB"/>
        </w:rPr>
        <w:t xml:space="preserve"> (IMF Working Paper No. 12/202). International Monetary Fund. https://doi.org/10.5089/9781475505528.001</w:t>
      </w:r>
    </w:p>
    <w:p w14:paraId="72D71401"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Bernanke, B. S. (2015). </w:t>
      </w:r>
      <w:r w:rsidRPr="00BD2148">
        <w:rPr>
          <w:rFonts w:ascii="Times New Roman" w:hAnsi="Times New Roman" w:cs="Times New Roman"/>
          <w:i/>
          <w:iCs/>
          <w:lang w:val="en-GB"/>
        </w:rPr>
        <w:t>The courage to act: A memoir of a crisis and its aftermath</w:t>
      </w:r>
      <w:r w:rsidRPr="00BD2148">
        <w:rPr>
          <w:rFonts w:ascii="Times New Roman" w:hAnsi="Times New Roman" w:cs="Times New Roman"/>
          <w:lang w:val="en-GB"/>
        </w:rPr>
        <w:t>. W. W. Norton &amp; Company.</w:t>
      </w:r>
    </w:p>
    <w:p w14:paraId="4027507E"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Birchall, J. (2013). The potential of co-operatives during the current recession: Theorizing comparative advantage. </w:t>
      </w:r>
      <w:r w:rsidRPr="00BD2148">
        <w:rPr>
          <w:rFonts w:ascii="Times New Roman" w:hAnsi="Times New Roman" w:cs="Times New Roman"/>
          <w:i/>
          <w:iCs/>
          <w:lang w:val="en-GB"/>
        </w:rPr>
        <w:t>Journal of Entrepreneurial and Organizational Diversity, 2</w:t>
      </w:r>
      <w:r w:rsidRPr="00BD2148">
        <w:rPr>
          <w:rFonts w:ascii="Times New Roman" w:hAnsi="Times New Roman" w:cs="Times New Roman"/>
          <w:lang w:val="en-GB"/>
        </w:rPr>
        <w:t xml:space="preserve">(1), 1–22. https://doi.org/10.5947/jeod.2013.001 </w:t>
      </w:r>
    </w:p>
    <w:p w14:paraId="3F47BB6E"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Borio, C. (2014). The financial cycle and macroeconomics: What have we learnt? </w:t>
      </w:r>
      <w:r w:rsidRPr="00BD2148">
        <w:rPr>
          <w:rFonts w:ascii="Times New Roman" w:hAnsi="Times New Roman" w:cs="Times New Roman"/>
          <w:i/>
          <w:iCs/>
          <w:lang w:val="en-GB"/>
        </w:rPr>
        <w:t>Journal of Banking &amp; Finance, 45</w:t>
      </w:r>
      <w:r w:rsidRPr="00BD2148">
        <w:rPr>
          <w:rFonts w:ascii="Times New Roman" w:hAnsi="Times New Roman" w:cs="Times New Roman"/>
          <w:lang w:val="en-GB"/>
        </w:rPr>
        <w:t xml:space="preserve">, 182–198. </w:t>
      </w:r>
      <w:hyperlink r:id="rId8" w:tgtFrame="_new" w:history="1">
        <w:r w:rsidRPr="00BD2148">
          <w:rPr>
            <w:rStyle w:val="Hypertextovprepojenie"/>
            <w:rFonts w:ascii="Times New Roman" w:hAnsi="Times New Roman" w:cs="Times New Roman"/>
            <w:lang w:val="en-GB"/>
          </w:rPr>
          <w:t>https://doi.org/10.1016/j.jbankfin.2013.07.031</w:t>
        </w:r>
      </w:hyperlink>
      <w:r w:rsidRPr="00BD2148">
        <w:rPr>
          <w:rFonts w:ascii="Times New Roman" w:hAnsi="Times New Roman" w:cs="Times New Roman"/>
          <w:lang w:val="en-GB"/>
        </w:rPr>
        <w:t xml:space="preserve"> </w:t>
      </w:r>
    </w:p>
    <w:p w14:paraId="3DEE33A4"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Cheney, G., Santa Cruz, I., Peredo, A. M., &amp; Nazareno, E. (2014). Worker cooperatives as an organizational alternative: Challenges, achievements and promise in business governance and ownership. </w:t>
      </w:r>
      <w:r w:rsidRPr="00BD2148">
        <w:rPr>
          <w:rFonts w:ascii="Times New Roman" w:hAnsi="Times New Roman" w:cs="Times New Roman"/>
          <w:i/>
          <w:iCs/>
          <w:lang w:val="en-GB"/>
        </w:rPr>
        <w:t>Organization, 21</w:t>
      </w:r>
      <w:r w:rsidRPr="00BD2148">
        <w:rPr>
          <w:rFonts w:ascii="Times New Roman" w:hAnsi="Times New Roman" w:cs="Times New Roman"/>
          <w:lang w:val="en-GB"/>
        </w:rPr>
        <w:t xml:space="preserve">(5), 591–603. </w:t>
      </w:r>
      <w:hyperlink r:id="rId9" w:tgtFrame="_new" w:history="1">
        <w:r w:rsidRPr="00BD2148">
          <w:rPr>
            <w:rStyle w:val="Hypertextovprepojenie"/>
            <w:rFonts w:ascii="Times New Roman" w:hAnsi="Times New Roman" w:cs="Times New Roman"/>
            <w:lang w:val="en-GB"/>
          </w:rPr>
          <w:t>https://doi.org/10.1177/1350508414539784</w:t>
        </w:r>
      </w:hyperlink>
    </w:p>
    <w:p w14:paraId="763FFBC2"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Dow, G. K. (2003). </w:t>
      </w:r>
      <w:r w:rsidRPr="00BD2148">
        <w:rPr>
          <w:rFonts w:ascii="Times New Roman" w:hAnsi="Times New Roman" w:cs="Times New Roman"/>
          <w:i/>
          <w:iCs/>
          <w:lang w:val="en-GB"/>
        </w:rPr>
        <w:t>Governing the firm: Workers' control in theory and practice</w:t>
      </w:r>
      <w:r w:rsidRPr="00BD2148">
        <w:rPr>
          <w:rFonts w:ascii="Times New Roman" w:hAnsi="Times New Roman" w:cs="Times New Roman"/>
          <w:lang w:val="en-GB"/>
        </w:rPr>
        <w:t xml:space="preserve">. Cambridge University Press. </w:t>
      </w:r>
    </w:p>
    <w:p w14:paraId="0FAA31DF"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Eichengreen, B. (1996). </w:t>
      </w:r>
      <w:r w:rsidRPr="00BD2148">
        <w:rPr>
          <w:rFonts w:ascii="Times New Roman" w:hAnsi="Times New Roman" w:cs="Times New Roman"/>
          <w:i/>
          <w:iCs/>
          <w:lang w:val="en-GB"/>
        </w:rPr>
        <w:t>Globalizing capital: A history of the international monetary system</w:t>
      </w:r>
      <w:r w:rsidRPr="00BD2148">
        <w:rPr>
          <w:rFonts w:ascii="Times New Roman" w:hAnsi="Times New Roman" w:cs="Times New Roman"/>
          <w:lang w:val="en-GB"/>
        </w:rPr>
        <w:t>. Princeton University Press.</w:t>
      </w:r>
    </w:p>
    <w:p w14:paraId="0F47FD2D"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Ellman, M. (2014). </w:t>
      </w:r>
      <w:r w:rsidRPr="00BD2148">
        <w:rPr>
          <w:rFonts w:ascii="Times New Roman" w:hAnsi="Times New Roman" w:cs="Times New Roman"/>
          <w:i/>
          <w:iCs/>
          <w:lang w:val="en-GB"/>
        </w:rPr>
        <w:t>Socialist planning</w:t>
      </w:r>
      <w:r w:rsidRPr="00BD2148">
        <w:rPr>
          <w:rFonts w:ascii="Times New Roman" w:hAnsi="Times New Roman" w:cs="Times New Roman"/>
          <w:lang w:val="en-GB"/>
        </w:rPr>
        <w:t xml:space="preserve"> (3rd ed.). Cambridge University Press.</w:t>
      </w:r>
    </w:p>
    <w:p w14:paraId="57C84D8F"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Fisher, I. (1936). </w:t>
      </w:r>
      <w:r w:rsidRPr="00BD2148">
        <w:rPr>
          <w:rFonts w:ascii="Times New Roman" w:hAnsi="Times New Roman" w:cs="Times New Roman"/>
          <w:i/>
          <w:iCs/>
          <w:lang w:val="en-GB"/>
        </w:rPr>
        <w:t>100% money and the public debt</w:t>
      </w:r>
      <w:r w:rsidRPr="00BD2148">
        <w:rPr>
          <w:rFonts w:ascii="Times New Roman" w:hAnsi="Times New Roman" w:cs="Times New Roman"/>
          <w:lang w:val="en-GB"/>
        </w:rPr>
        <w:t xml:space="preserve">. Adelphi Company. </w:t>
      </w:r>
    </w:p>
    <w:p w14:paraId="3A545937"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Hegedüs, J. (2009). </w:t>
      </w:r>
      <w:r w:rsidRPr="00BD2148">
        <w:rPr>
          <w:rFonts w:ascii="Times New Roman" w:hAnsi="Times New Roman" w:cs="Times New Roman"/>
          <w:i/>
          <w:iCs/>
          <w:lang w:val="en-GB"/>
        </w:rPr>
        <w:t>Housing affordability issues in Eastern and Central European countries</w:t>
      </w:r>
      <w:r w:rsidRPr="00BD2148">
        <w:rPr>
          <w:rFonts w:ascii="Times New Roman" w:hAnsi="Times New Roman" w:cs="Times New Roman"/>
          <w:lang w:val="en-GB"/>
        </w:rPr>
        <w:t xml:space="preserve">. Paper prepared for the Seminar on Housing, Social Inclusion and the Economy, Brussels. </w:t>
      </w:r>
    </w:p>
    <w:p w14:paraId="50EF6CE5"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Hegedüs, J. (2020). Understanding housing development in new European member states: A housing regime approach. </w:t>
      </w:r>
      <w:r w:rsidRPr="00BD2148">
        <w:rPr>
          <w:rFonts w:ascii="Times New Roman" w:hAnsi="Times New Roman" w:cs="Times New Roman"/>
          <w:i/>
          <w:iCs/>
          <w:lang w:val="en-GB"/>
        </w:rPr>
        <w:t>Critical Housing Analysis, 7</w:t>
      </w:r>
      <w:r w:rsidRPr="00BD2148">
        <w:rPr>
          <w:rFonts w:ascii="Times New Roman" w:hAnsi="Times New Roman" w:cs="Times New Roman"/>
          <w:lang w:val="en-GB"/>
        </w:rPr>
        <w:t xml:space="preserve">(1), 49–62. https://doi.org/10.13060/23362839.2020.7.1.503 </w:t>
      </w:r>
    </w:p>
    <w:p w14:paraId="0C3165D6"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Huber, J. (2017). </w:t>
      </w:r>
      <w:r w:rsidRPr="00BD2148">
        <w:rPr>
          <w:rFonts w:ascii="Times New Roman" w:hAnsi="Times New Roman" w:cs="Times New Roman"/>
          <w:i/>
          <w:iCs/>
          <w:lang w:val="en-GB"/>
        </w:rPr>
        <w:t>Sovereign money: Beyond reserve banking</w:t>
      </w:r>
      <w:r w:rsidRPr="00BD2148">
        <w:rPr>
          <w:rFonts w:ascii="Times New Roman" w:hAnsi="Times New Roman" w:cs="Times New Roman"/>
          <w:lang w:val="en-GB"/>
        </w:rPr>
        <w:t>. Palgrave Macmillan.</w:t>
      </w:r>
    </w:p>
    <w:p w14:paraId="5E1C71A5"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Huber, J., &amp; Robertson, J. (2000). </w:t>
      </w:r>
      <w:r w:rsidRPr="00BD2148">
        <w:rPr>
          <w:rFonts w:ascii="Times New Roman" w:hAnsi="Times New Roman" w:cs="Times New Roman"/>
          <w:i/>
          <w:iCs/>
          <w:lang w:val="en-GB"/>
        </w:rPr>
        <w:t>Creating new money: A monetary reform for the information age</w:t>
      </w:r>
      <w:r w:rsidRPr="00BD2148">
        <w:rPr>
          <w:rFonts w:ascii="Times New Roman" w:hAnsi="Times New Roman" w:cs="Times New Roman"/>
          <w:lang w:val="en-GB"/>
        </w:rPr>
        <w:t xml:space="preserve">. New Economics Foundation. </w:t>
      </w:r>
    </w:p>
    <w:p w14:paraId="0440BBE9"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lastRenderedPageBreak/>
        <w:t xml:space="preserve">Jackson, A., &amp; Dyson, B. (2013). </w:t>
      </w:r>
      <w:r w:rsidRPr="00BD2148">
        <w:rPr>
          <w:rFonts w:ascii="Times New Roman" w:hAnsi="Times New Roman" w:cs="Times New Roman"/>
          <w:i/>
          <w:iCs/>
          <w:lang w:val="en-GB"/>
        </w:rPr>
        <w:t>Modernising money: Why our monetary system is broken and how it can be fixed</w:t>
      </w:r>
      <w:r w:rsidRPr="00BD2148">
        <w:rPr>
          <w:rFonts w:ascii="Times New Roman" w:hAnsi="Times New Roman" w:cs="Times New Roman"/>
          <w:lang w:val="en-GB"/>
        </w:rPr>
        <w:t>. Positive Money.</w:t>
      </w:r>
    </w:p>
    <w:p w14:paraId="42757B83"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Jordà, Ò., Schularick, M., &amp; Taylor, A. M. (2016). The great mortgaging: Housing finance, crises and business cycles. </w:t>
      </w:r>
      <w:r w:rsidRPr="00BD2148">
        <w:rPr>
          <w:rFonts w:ascii="Times New Roman" w:hAnsi="Times New Roman" w:cs="Times New Roman"/>
          <w:i/>
          <w:iCs/>
          <w:lang w:val="en-GB"/>
        </w:rPr>
        <w:t>Economic Policy, 31</w:t>
      </w:r>
      <w:r w:rsidRPr="00BD2148">
        <w:rPr>
          <w:rFonts w:ascii="Times New Roman" w:hAnsi="Times New Roman" w:cs="Times New Roman"/>
          <w:lang w:val="en-GB"/>
        </w:rPr>
        <w:t xml:space="preserve">(85), 107–152. https://doi.org/10.1093/epolic/eiv018 </w:t>
      </w:r>
    </w:p>
    <w:p w14:paraId="30102E54"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Jurčišin, S. (2015). </w:t>
      </w:r>
      <w:r w:rsidRPr="00BD2148">
        <w:rPr>
          <w:rFonts w:ascii="Times New Roman" w:hAnsi="Times New Roman" w:cs="Times New Roman"/>
          <w:i/>
          <w:iCs/>
          <w:lang w:val="en-GB"/>
        </w:rPr>
        <w:t>Kooperativizmus</w:t>
      </w:r>
      <w:r w:rsidRPr="00BD2148">
        <w:rPr>
          <w:rFonts w:ascii="Times New Roman" w:hAnsi="Times New Roman" w:cs="Times New Roman"/>
          <w:lang w:val="en-GB"/>
        </w:rPr>
        <w:t>. Epos.</w:t>
      </w:r>
    </w:p>
    <w:p w14:paraId="77CE08E8"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Jurčišin, S. (2024). </w:t>
      </w:r>
      <w:r w:rsidRPr="00BD2148">
        <w:rPr>
          <w:rFonts w:ascii="Times New Roman" w:hAnsi="Times New Roman" w:cs="Times New Roman"/>
          <w:i/>
          <w:iCs/>
          <w:lang w:val="en-GB"/>
        </w:rPr>
        <w:t>Odborná argumentácia kooperativizmu</w:t>
      </w:r>
      <w:r w:rsidRPr="00BD2148">
        <w:rPr>
          <w:rFonts w:ascii="Times New Roman" w:hAnsi="Times New Roman" w:cs="Times New Roman"/>
          <w:lang w:val="en-GB"/>
        </w:rPr>
        <w:t xml:space="preserve"> [Research monograph].</w:t>
      </w:r>
    </w:p>
    <w:p w14:paraId="3638958E"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Jurčišin, S. (2025). Beyond capitalism: Cooperativism as a systemic alternative towards economic democracy. </w:t>
      </w:r>
      <w:r w:rsidRPr="00BD2148">
        <w:rPr>
          <w:rFonts w:ascii="Times New Roman" w:hAnsi="Times New Roman" w:cs="Times New Roman"/>
          <w:i/>
          <w:iCs/>
          <w:lang w:val="en-GB"/>
        </w:rPr>
        <w:t>International Review of Applied Economics</w:t>
      </w:r>
      <w:r w:rsidRPr="00BD2148">
        <w:rPr>
          <w:rFonts w:ascii="Times New Roman" w:hAnsi="Times New Roman" w:cs="Times New Roman"/>
          <w:lang w:val="en-GB"/>
        </w:rPr>
        <w:t xml:space="preserve">. </w:t>
      </w:r>
      <w:hyperlink r:id="rId10" w:tgtFrame="_new" w:history="1">
        <w:r w:rsidRPr="00BD2148">
          <w:rPr>
            <w:rStyle w:val="Hypertextovprepojenie"/>
            <w:rFonts w:ascii="Times New Roman" w:hAnsi="Times New Roman" w:cs="Times New Roman"/>
            <w:lang w:val="en-GB"/>
          </w:rPr>
          <w:t>https://doi.org/10.1080/02692171.2025.2602519</w:t>
        </w:r>
      </w:hyperlink>
      <w:r w:rsidRPr="00BD2148">
        <w:rPr>
          <w:rFonts w:ascii="Times New Roman" w:hAnsi="Times New Roman" w:cs="Times New Roman"/>
          <w:lang w:val="en-GB"/>
        </w:rPr>
        <w:t xml:space="preserve"> </w:t>
      </w:r>
    </w:p>
    <w:p w14:paraId="33CE4A5E"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Keen, S. (2017). </w:t>
      </w:r>
      <w:r w:rsidRPr="00BD2148">
        <w:rPr>
          <w:rFonts w:ascii="Times New Roman" w:hAnsi="Times New Roman" w:cs="Times New Roman"/>
          <w:i/>
          <w:iCs/>
          <w:lang w:val="en-GB"/>
        </w:rPr>
        <w:t>Can we avoid another financial crisis?</w:t>
      </w:r>
      <w:r w:rsidRPr="00BD2148">
        <w:rPr>
          <w:rFonts w:ascii="Times New Roman" w:hAnsi="Times New Roman" w:cs="Times New Roman"/>
          <w:lang w:val="en-GB"/>
        </w:rPr>
        <w:t xml:space="preserve"> Polity Press.</w:t>
      </w:r>
    </w:p>
    <w:p w14:paraId="0C07D390"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Kornai, J. (1992). </w:t>
      </w:r>
      <w:r w:rsidRPr="00BD2148">
        <w:rPr>
          <w:rFonts w:ascii="Times New Roman" w:hAnsi="Times New Roman" w:cs="Times New Roman"/>
          <w:i/>
          <w:iCs/>
          <w:lang w:val="en-GB"/>
        </w:rPr>
        <w:t>The socialist system: The political economy of communism</w:t>
      </w:r>
      <w:r w:rsidRPr="00BD2148">
        <w:rPr>
          <w:rFonts w:ascii="Times New Roman" w:hAnsi="Times New Roman" w:cs="Times New Roman"/>
          <w:lang w:val="en-GB"/>
        </w:rPr>
        <w:t>. Princeton University Press.</w:t>
      </w:r>
    </w:p>
    <w:p w14:paraId="234C05DE"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Minsky, H. P. (1986). </w:t>
      </w:r>
      <w:r w:rsidRPr="00BD2148">
        <w:rPr>
          <w:rFonts w:ascii="Times New Roman" w:hAnsi="Times New Roman" w:cs="Times New Roman"/>
          <w:i/>
          <w:iCs/>
          <w:lang w:val="en-GB"/>
        </w:rPr>
        <w:t>Stabilizing an unstable economy</w:t>
      </w:r>
      <w:r w:rsidRPr="00BD2148">
        <w:rPr>
          <w:rFonts w:ascii="Times New Roman" w:hAnsi="Times New Roman" w:cs="Times New Roman"/>
          <w:lang w:val="en-GB"/>
        </w:rPr>
        <w:t>. Yale University Press.</w:t>
      </w:r>
    </w:p>
    <w:p w14:paraId="3689E539"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Mishkin, F. S. (2019). </w:t>
      </w:r>
      <w:r w:rsidRPr="00BD2148">
        <w:rPr>
          <w:rFonts w:ascii="Times New Roman" w:hAnsi="Times New Roman" w:cs="Times New Roman"/>
          <w:i/>
          <w:iCs/>
          <w:lang w:val="en-GB"/>
        </w:rPr>
        <w:t>The economics of money, banking, and financial markets</w:t>
      </w:r>
      <w:r w:rsidRPr="00BD2148">
        <w:rPr>
          <w:rFonts w:ascii="Times New Roman" w:hAnsi="Times New Roman" w:cs="Times New Roman"/>
          <w:lang w:val="en-GB"/>
        </w:rPr>
        <w:t xml:space="preserve"> (12th ed.). Pearson.</w:t>
      </w:r>
    </w:p>
    <w:p w14:paraId="632B91CC"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Pérotin, V. (2016). What do we really know about worker co-operatives? In A. Webster, L. Shaw, J. K. Walton, A. Brown, &amp; D. Stewart (Eds.), </w:t>
      </w:r>
      <w:r w:rsidRPr="00BD2148">
        <w:rPr>
          <w:rFonts w:ascii="Times New Roman" w:hAnsi="Times New Roman" w:cs="Times New Roman"/>
          <w:i/>
          <w:iCs/>
          <w:lang w:val="en-GB"/>
        </w:rPr>
        <w:t>The hidden alternative: Co-operative values, past, present and future</w:t>
      </w:r>
      <w:r w:rsidRPr="00BD2148">
        <w:rPr>
          <w:rFonts w:ascii="Times New Roman" w:hAnsi="Times New Roman" w:cs="Times New Roman"/>
          <w:lang w:val="en-GB"/>
        </w:rPr>
        <w:t>. Manchester University Press.</w:t>
      </w:r>
    </w:p>
    <w:p w14:paraId="19853400"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Piketty, T. (2015). </w:t>
      </w:r>
      <w:r w:rsidRPr="00BD2148">
        <w:rPr>
          <w:rFonts w:ascii="Times New Roman" w:hAnsi="Times New Roman" w:cs="Times New Roman"/>
          <w:i/>
          <w:iCs/>
          <w:lang w:val="en-GB"/>
        </w:rPr>
        <w:t>Capital in the twenty-first century</w:t>
      </w:r>
      <w:r w:rsidRPr="00BD2148">
        <w:rPr>
          <w:rFonts w:ascii="Times New Roman" w:hAnsi="Times New Roman" w:cs="Times New Roman"/>
          <w:lang w:val="en-GB"/>
        </w:rPr>
        <w:t>. Belknap Press of Harvard University Press.</w:t>
      </w:r>
    </w:p>
    <w:p w14:paraId="2628A544"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Piketty, T. (2019). </w:t>
      </w:r>
      <w:r w:rsidRPr="00BD2148">
        <w:rPr>
          <w:rFonts w:ascii="Times New Roman" w:hAnsi="Times New Roman" w:cs="Times New Roman"/>
          <w:i/>
          <w:iCs/>
          <w:lang w:val="en-GB"/>
        </w:rPr>
        <w:t>Capital and ideology</w:t>
      </w:r>
      <w:r w:rsidRPr="00BD2148">
        <w:rPr>
          <w:rFonts w:ascii="Times New Roman" w:hAnsi="Times New Roman" w:cs="Times New Roman"/>
          <w:lang w:val="en-GB"/>
        </w:rPr>
        <w:t>. Harvard University Press.</w:t>
      </w:r>
    </w:p>
    <w:p w14:paraId="0058DD33"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Reinhart, C. M., &amp; Rogoff, K. S. (2009). </w:t>
      </w:r>
      <w:r w:rsidRPr="00BD2148">
        <w:rPr>
          <w:rFonts w:ascii="Times New Roman" w:hAnsi="Times New Roman" w:cs="Times New Roman"/>
          <w:i/>
          <w:iCs/>
          <w:lang w:val="en-GB"/>
        </w:rPr>
        <w:t>This time is different: Eight centuries of financial folly</w:t>
      </w:r>
      <w:r w:rsidRPr="00BD2148">
        <w:rPr>
          <w:rFonts w:ascii="Times New Roman" w:hAnsi="Times New Roman" w:cs="Times New Roman"/>
          <w:lang w:val="en-GB"/>
        </w:rPr>
        <w:t>. Princeton University Press.</w:t>
      </w:r>
    </w:p>
    <w:p w14:paraId="6C2AA98B"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Restakis, J. (2010). </w:t>
      </w:r>
      <w:r w:rsidRPr="00BD2148">
        <w:rPr>
          <w:rFonts w:ascii="Times New Roman" w:hAnsi="Times New Roman" w:cs="Times New Roman"/>
          <w:i/>
          <w:iCs/>
          <w:lang w:val="en-GB"/>
        </w:rPr>
        <w:t>Humanizing the economy: Co-operatives in the age of capital</w:t>
      </w:r>
      <w:r w:rsidRPr="00BD2148">
        <w:rPr>
          <w:rFonts w:ascii="Times New Roman" w:hAnsi="Times New Roman" w:cs="Times New Roman"/>
          <w:lang w:val="en-GB"/>
        </w:rPr>
        <w:t>. New Society Publishers.</w:t>
      </w:r>
    </w:p>
    <w:p w14:paraId="3BB7264B"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Schweickart, D. (2011). </w:t>
      </w:r>
      <w:r w:rsidRPr="00BD2148">
        <w:rPr>
          <w:rFonts w:ascii="Times New Roman" w:hAnsi="Times New Roman" w:cs="Times New Roman"/>
          <w:i/>
          <w:iCs/>
          <w:lang w:val="en-GB"/>
        </w:rPr>
        <w:t>After capitalism</w:t>
      </w:r>
      <w:r w:rsidRPr="00BD2148">
        <w:rPr>
          <w:rFonts w:ascii="Times New Roman" w:hAnsi="Times New Roman" w:cs="Times New Roman"/>
          <w:lang w:val="en-GB"/>
        </w:rPr>
        <w:t xml:space="preserve"> (2nd ed.). Rowman &amp; Littlefield.</w:t>
      </w:r>
    </w:p>
    <w:p w14:paraId="7C44E994"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Sigurjónsson, F. (2015). </w:t>
      </w:r>
      <w:r w:rsidRPr="00BD2148">
        <w:rPr>
          <w:rFonts w:ascii="Times New Roman" w:hAnsi="Times New Roman" w:cs="Times New Roman"/>
          <w:i/>
          <w:iCs/>
          <w:lang w:val="en-GB"/>
        </w:rPr>
        <w:t>Monetary reform: A better monetary system for Iceland</w:t>
      </w:r>
      <w:r w:rsidRPr="00BD2148">
        <w:rPr>
          <w:rFonts w:ascii="Times New Roman" w:hAnsi="Times New Roman" w:cs="Times New Roman"/>
          <w:lang w:val="en-GB"/>
        </w:rPr>
        <w:t>. Prime Minister's Office.</w:t>
      </w:r>
    </w:p>
    <w:p w14:paraId="7AC1C6E7"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Stiglitz, J. E. (2019). </w:t>
      </w:r>
      <w:r w:rsidRPr="00BD2148">
        <w:rPr>
          <w:rFonts w:ascii="Times New Roman" w:hAnsi="Times New Roman" w:cs="Times New Roman"/>
          <w:i/>
          <w:iCs/>
          <w:lang w:val="en-GB"/>
        </w:rPr>
        <w:t>People, power, and profits: Progressive capitalism for an age of discontent</w:t>
      </w:r>
      <w:r w:rsidRPr="00BD2148">
        <w:rPr>
          <w:rFonts w:ascii="Times New Roman" w:hAnsi="Times New Roman" w:cs="Times New Roman"/>
          <w:lang w:val="en-GB"/>
        </w:rPr>
        <w:t>. W. W. Norton &amp; Company.</w:t>
      </w:r>
    </w:p>
    <w:p w14:paraId="76F87ABC"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t xml:space="preserve">Whyte, W. F., &amp; Whyte, K. K. (1991). </w:t>
      </w:r>
      <w:r w:rsidRPr="00BD2148">
        <w:rPr>
          <w:rFonts w:ascii="Times New Roman" w:hAnsi="Times New Roman" w:cs="Times New Roman"/>
          <w:i/>
          <w:iCs/>
          <w:lang w:val="en-GB"/>
        </w:rPr>
        <w:t>Making Mondragon: The growth and dynamics of the worker cooperative complex</w:t>
      </w:r>
      <w:r w:rsidRPr="00BD2148">
        <w:rPr>
          <w:rFonts w:ascii="Times New Roman" w:hAnsi="Times New Roman" w:cs="Times New Roman"/>
          <w:lang w:val="en-GB"/>
        </w:rPr>
        <w:t xml:space="preserve"> (2nd ed.). ILR Press.</w:t>
      </w:r>
    </w:p>
    <w:p w14:paraId="35897103" w14:textId="77777777" w:rsidR="00130217" w:rsidRPr="00BD2148" w:rsidRDefault="00130217" w:rsidP="00130217">
      <w:pPr>
        <w:rPr>
          <w:rFonts w:ascii="Times New Roman" w:hAnsi="Times New Roman" w:cs="Times New Roman"/>
          <w:lang w:val="en-GB"/>
        </w:rPr>
      </w:pPr>
      <w:r w:rsidRPr="00BD2148">
        <w:rPr>
          <w:rFonts w:ascii="Times New Roman" w:hAnsi="Times New Roman" w:cs="Times New Roman"/>
          <w:lang w:val="en-GB"/>
        </w:rPr>
        <w:lastRenderedPageBreak/>
        <w:t xml:space="preserve">Wray, L. R. (2012). </w:t>
      </w:r>
      <w:r w:rsidRPr="00BD2148">
        <w:rPr>
          <w:rFonts w:ascii="Times New Roman" w:hAnsi="Times New Roman" w:cs="Times New Roman"/>
          <w:i/>
          <w:iCs/>
          <w:lang w:val="en-GB"/>
        </w:rPr>
        <w:t>Modern money theory: A primer on macroeconomics for sovereign monetary systems</w:t>
      </w:r>
      <w:r w:rsidRPr="00BD2148">
        <w:rPr>
          <w:rFonts w:ascii="Times New Roman" w:hAnsi="Times New Roman" w:cs="Times New Roman"/>
          <w:lang w:val="en-GB"/>
        </w:rPr>
        <w:t>. Palgrave Macmillan.</w:t>
      </w:r>
    </w:p>
    <w:p w14:paraId="6C3C0D8E" w14:textId="77777777" w:rsidR="000D469E" w:rsidRPr="00BD2148" w:rsidRDefault="000D469E" w:rsidP="00130217">
      <w:pPr>
        <w:rPr>
          <w:rFonts w:ascii="Times New Roman" w:hAnsi="Times New Roman" w:cs="Times New Roman"/>
          <w:lang w:val="en-GB"/>
        </w:rPr>
      </w:pPr>
    </w:p>
    <w:sectPr w:rsidR="000D469E" w:rsidRPr="00BD21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DejaVu Sans">
    <w:altName w:val="Verdana"/>
    <w:charset w:val="EE"/>
    <w:family w:val="swiss"/>
    <w:pitch w:val="variable"/>
    <w:sig w:usb0="E7002EFF" w:usb1="D200FDFF" w:usb2="0A246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902D4"/>
    <w:multiLevelType w:val="hybridMultilevel"/>
    <w:tmpl w:val="E6F015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838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06"/>
    <w:rsid w:val="000D469E"/>
    <w:rsid w:val="00130217"/>
    <w:rsid w:val="003565E6"/>
    <w:rsid w:val="003767BE"/>
    <w:rsid w:val="0055405B"/>
    <w:rsid w:val="007068FD"/>
    <w:rsid w:val="00BD2148"/>
    <w:rsid w:val="00D468FD"/>
    <w:rsid w:val="00E27B6A"/>
    <w:rsid w:val="00EF56CE"/>
    <w:rsid w:val="00F5421D"/>
    <w:rsid w:val="00FA0A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BFA4"/>
  <w15:chartTrackingRefBased/>
  <w15:docId w15:val="{EF68140B-6289-49E8-B54D-5DFA0712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A0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A0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A0A0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A0A0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A0A0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A0A0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A0A0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A0A0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A0A0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A0A0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A0A0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A0A0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A0A0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A0A0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A0A0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A0A0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A0A0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A0A06"/>
    <w:rPr>
      <w:rFonts w:eastAsiaTheme="majorEastAsia" w:cstheme="majorBidi"/>
      <w:color w:val="272727" w:themeColor="text1" w:themeTint="D8"/>
    </w:rPr>
  </w:style>
  <w:style w:type="paragraph" w:styleId="Nzov">
    <w:name w:val="Title"/>
    <w:basedOn w:val="Normlny"/>
    <w:next w:val="Normlny"/>
    <w:link w:val="NzovChar"/>
    <w:uiPriority w:val="10"/>
    <w:qFormat/>
    <w:rsid w:val="00FA0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A0A0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A0A0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A0A0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A0A0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A0A06"/>
    <w:rPr>
      <w:i/>
      <w:iCs/>
      <w:color w:val="404040" w:themeColor="text1" w:themeTint="BF"/>
    </w:rPr>
  </w:style>
  <w:style w:type="paragraph" w:styleId="Odsekzoznamu">
    <w:name w:val="List Paragraph"/>
    <w:basedOn w:val="Normlny"/>
    <w:uiPriority w:val="34"/>
    <w:qFormat/>
    <w:rsid w:val="00FA0A06"/>
    <w:pPr>
      <w:ind w:left="720"/>
      <w:contextualSpacing/>
    </w:pPr>
  </w:style>
  <w:style w:type="character" w:styleId="Intenzvnezvraznenie">
    <w:name w:val="Intense Emphasis"/>
    <w:basedOn w:val="Predvolenpsmoodseku"/>
    <w:uiPriority w:val="21"/>
    <w:qFormat/>
    <w:rsid w:val="00FA0A06"/>
    <w:rPr>
      <w:i/>
      <w:iCs/>
      <w:color w:val="0F4761" w:themeColor="accent1" w:themeShade="BF"/>
    </w:rPr>
  </w:style>
  <w:style w:type="paragraph" w:styleId="Zvraznencitcia">
    <w:name w:val="Intense Quote"/>
    <w:basedOn w:val="Normlny"/>
    <w:next w:val="Normlny"/>
    <w:link w:val="ZvraznencitciaChar"/>
    <w:uiPriority w:val="30"/>
    <w:qFormat/>
    <w:rsid w:val="00FA0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A0A06"/>
    <w:rPr>
      <w:i/>
      <w:iCs/>
      <w:color w:val="0F4761" w:themeColor="accent1" w:themeShade="BF"/>
    </w:rPr>
  </w:style>
  <w:style w:type="character" w:styleId="Zvraznenodkaz">
    <w:name w:val="Intense Reference"/>
    <w:basedOn w:val="Predvolenpsmoodseku"/>
    <w:uiPriority w:val="32"/>
    <w:qFormat/>
    <w:rsid w:val="00FA0A06"/>
    <w:rPr>
      <w:b/>
      <w:bCs/>
      <w:smallCaps/>
      <w:color w:val="0F4761" w:themeColor="accent1" w:themeShade="BF"/>
      <w:spacing w:val="5"/>
    </w:rPr>
  </w:style>
  <w:style w:type="character" w:styleId="Hypertextovprepojenie">
    <w:name w:val="Hyperlink"/>
    <w:basedOn w:val="Predvolenpsmoodseku"/>
    <w:uiPriority w:val="99"/>
    <w:unhideWhenUsed/>
    <w:rsid w:val="00D468FD"/>
    <w:rPr>
      <w:color w:val="467886" w:themeColor="hyperlink"/>
      <w:u w:val="single"/>
    </w:rPr>
  </w:style>
  <w:style w:type="paragraph" w:customStyle="1" w:styleId="Standard">
    <w:name w:val="Standard"/>
    <w:rsid w:val="00D468FD"/>
    <w:pPr>
      <w:suppressAutoHyphens/>
      <w:autoSpaceDN w:val="0"/>
      <w:spacing w:line="259" w:lineRule="auto"/>
      <w:textAlignment w:val="baseline"/>
    </w:pPr>
    <w:rPr>
      <w:rFonts w:ascii="Calibri" w:eastAsia="Calibri" w:hAnsi="Calibri" w:cs="DejaVu Sans"/>
      <w:kern w:val="3"/>
      <w:sz w:val="22"/>
      <w:szCs w:val="22"/>
      <w14:ligatures w14:val="none"/>
    </w:rPr>
  </w:style>
  <w:style w:type="character" w:styleId="Nevyrieenzmienka">
    <w:name w:val="Unresolved Mention"/>
    <w:basedOn w:val="Predvolenpsmoodseku"/>
    <w:uiPriority w:val="99"/>
    <w:semiHidden/>
    <w:unhideWhenUsed/>
    <w:rsid w:val="00130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bankfin.2013.07.031" TargetMode="External"/><Relationship Id="rId3" Type="http://schemas.openxmlformats.org/officeDocument/2006/relationships/settings" Target="settings.xml"/><Relationship Id="rId7" Type="http://schemas.openxmlformats.org/officeDocument/2006/relationships/hyperlink" Target="mailto:stanojurcisin1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nislav.jurcisin@isrep.org" TargetMode="External"/><Relationship Id="rId11" Type="http://schemas.openxmlformats.org/officeDocument/2006/relationships/fontTable" Target="fontTable.xml"/><Relationship Id="rId5" Type="http://schemas.openxmlformats.org/officeDocument/2006/relationships/hyperlink" Target="https://orcid.org/0009-0006-7927-2317" TargetMode="External"/><Relationship Id="rId10" Type="http://schemas.openxmlformats.org/officeDocument/2006/relationships/hyperlink" Target="https://doi.org/10.1080/02692171.2025.2602519" TargetMode="External"/><Relationship Id="rId4" Type="http://schemas.openxmlformats.org/officeDocument/2006/relationships/webSettings" Target="webSettings.xml"/><Relationship Id="rId9" Type="http://schemas.openxmlformats.org/officeDocument/2006/relationships/hyperlink" Target="https://doi.org/10.1177/1350508414539784"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15</Pages>
  <Words>5991</Words>
  <Characters>34152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Stano Jurcisin</dc:creator>
  <cp:keywords/>
  <dc:description/>
  <cp:lastModifiedBy>Stano Jurcisin</cp:lastModifiedBy>
  <cp:revision>5</cp:revision>
  <dcterms:created xsi:type="dcterms:W3CDTF">2026-08-16T11:54:00Z</dcterms:created>
  <dcterms:modified xsi:type="dcterms:W3CDTF">2026-08-16T13:56:00Z</dcterms:modified>
</cp:coreProperties>
</file>