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D7B34" w14:textId="3FE65A0B" w:rsidR="00AA29FC" w:rsidRPr="00C75F0D" w:rsidRDefault="00AA29FC" w:rsidP="00AA29FC">
      <w:pPr>
        <w:rPr>
          <w:rFonts w:ascii="Times New Roman" w:hAnsi="Times New Roman" w:cs="Times New Roman"/>
          <w:lang w:val="en-GB"/>
        </w:rPr>
      </w:pPr>
      <w:r w:rsidRPr="00C75F0D">
        <w:rPr>
          <w:rFonts w:ascii="Times New Roman" w:hAnsi="Times New Roman" w:cs="Times New Roman"/>
          <w:b/>
          <w:bCs/>
          <w:lang w:val="en-GB"/>
        </w:rPr>
        <w:t>Title</w:t>
      </w:r>
      <w:r w:rsidR="00DF1034" w:rsidRPr="00C75F0D">
        <w:rPr>
          <w:rFonts w:ascii="Times New Roman" w:hAnsi="Times New Roman" w:cs="Times New Roman"/>
          <w:b/>
          <w:bCs/>
          <w:lang w:val="en-GB"/>
        </w:rPr>
        <w:t xml:space="preserve"> of presentation</w:t>
      </w:r>
      <w:r w:rsidRPr="00C75F0D">
        <w:rPr>
          <w:rFonts w:ascii="Times New Roman" w:hAnsi="Times New Roman" w:cs="Times New Roman"/>
          <w:b/>
          <w:bCs/>
          <w:lang w:val="en-GB"/>
        </w:rPr>
        <w:t>:</w:t>
      </w:r>
      <w:r w:rsidRPr="00C75F0D">
        <w:rPr>
          <w:rFonts w:ascii="Times New Roman" w:hAnsi="Times New Roman" w:cs="Times New Roman"/>
          <w:lang w:val="en-GB"/>
        </w:rPr>
        <w:t xml:space="preserve"> Macroeconomic Democracy as a Framework for Long-Term Growth: Resolving r&gt;g Dynamics Within the Model of Cooperativism</w:t>
      </w:r>
    </w:p>
    <w:p w14:paraId="20FC68DD" w14:textId="77777777" w:rsidR="00AA29FC" w:rsidRPr="00C75F0D" w:rsidRDefault="00AA29FC" w:rsidP="00AA29FC">
      <w:pPr>
        <w:pStyle w:val="Standard"/>
        <w:spacing w:after="0" w:line="360" w:lineRule="auto"/>
        <w:jc w:val="both"/>
        <w:rPr>
          <w:rFonts w:ascii="Times New Roman" w:hAnsi="Times New Roman" w:cs="Times New Roman"/>
          <w:color w:val="000000" w:themeColor="text1"/>
          <w:sz w:val="24"/>
          <w:szCs w:val="24"/>
          <w:lang w:val="en-GB"/>
        </w:rPr>
      </w:pPr>
      <w:r w:rsidRPr="00C75F0D">
        <w:rPr>
          <w:rFonts w:ascii="Times New Roman" w:hAnsi="Times New Roman" w:cs="Times New Roman"/>
          <w:b/>
          <w:bCs/>
          <w:color w:val="000000" w:themeColor="text1"/>
          <w:sz w:val="24"/>
          <w:szCs w:val="24"/>
          <w:lang w:val="en-GB"/>
        </w:rPr>
        <w:t xml:space="preserve">Author: </w:t>
      </w:r>
      <w:r w:rsidRPr="00C75F0D">
        <w:rPr>
          <w:rFonts w:ascii="Times New Roman" w:hAnsi="Times New Roman" w:cs="Times New Roman"/>
          <w:color w:val="000000" w:themeColor="text1"/>
          <w:sz w:val="24"/>
          <w:szCs w:val="24"/>
          <w:lang w:val="en-GB"/>
        </w:rPr>
        <w:t>Stanislav Jurčišin</w:t>
      </w:r>
    </w:p>
    <w:p w14:paraId="0E4F9A37" w14:textId="77777777" w:rsidR="00AA29FC" w:rsidRPr="00C75F0D" w:rsidRDefault="00AA29FC" w:rsidP="00AA29FC">
      <w:pPr>
        <w:pStyle w:val="Standard"/>
        <w:spacing w:after="0" w:line="360" w:lineRule="auto"/>
        <w:rPr>
          <w:rFonts w:ascii="Times New Roman" w:hAnsi="Times New Roman" w:cs="Times New Roman"/>
          <w:color w:val="000000" w:themeColor="text1"/>
          <w:sz w:val="24"/>
          <w:szCs w:val="24"/>
          <w:lang w:val="en-GB"/>
        </w:rPr>
      </w:pPr>
      <w:r w:rsidRPr="00C75F0D">
        <w:rPr>
          <w:rFonts w:ascii="Times New Roman" w:hAnsi="Times New Roman" w:cs="Times New Roman"/>
          <w:b/>
          <w:bCs/>
          <w:color w:val="000000" w:themeColor="text1"/>
          <w:sz w:val="24"/>
          <w:szCs w:val="24"/>
          <w:lang w:val="en-GB"/>
        </w:rPr>
        <w:t xml:space="preserve">Affiliation: </w:t>
      </w:r>
      <w:r w:rsidRPr="00C75F0D">
        <w:rPr>
          <w:rFonts w:ascii="Times New Roman" w:hAnsi="Times New Roman" w:cs="Times New Roman"/>
          <w:color w:val="000000" w:themeColor="text1"/>
          <w:sz w:val="24"/>
          <w:szCs w:val="24"/>
          <w:lang w:val="en-GB"/>
        </w:rPr>
        <w:t>ISREP – Institute for Systemic Research in Economics and Psychology, Bardejov, Slovakia</w:t>
      </w:r>
    </w:p>
    <w:p w14:paraId="1EDBDEBD" w14:textId="77777777" w:rsidR="00AA29FC" w:rsidRPr="00C75F0D" w:rsidRDefault="00AA29FC" w:rsidP="00AA29FC">
      <w:pPr>
        <w:pStyle w:val="Standard"/>
        <w:spacing w:after="0" w:line="360" w:lineRule="auto"/>
        <w:jc w:val="both"/>
        <w:rPr>
          <w:rFonts w:ascii="Times New Roman" w:hAnsi="Times New Roman" w:cs="Times New Roman"/>
          <w:color w:val="000000" w:themeColor="text1"/>
          <w:sz w:val="24"/>
          <w:szCs w:val="24"/>
          <w:lang w:val="en-GB"/>
        </w:rPr>
      </w:pPr>
      <w:r w:rsidRPr="00C75F0D">
        <w:rPr>
          <w:rFonts w:ascii="Times New Roman" w:hAnsi="Times New Roman" w:cs="Times New Roman"/>
          <w:b/>
          <w:bCs/>
          <w:color w:val="000000" w:themeColor="text1"/>
          <w:sz w:val="24"/>
          <w:szCs w:val="24"/>
          <w:lang w:val="en-GB"/>
        </w:rPr>
        <w:t>ORCID:</w:t>
      </w:r>
      <w:r w:rsidRPr="00C75F0D">
        <w:rPr>
          <w:rFonts w:ascii="Times New Roman" w:hAnsi="Times New Roman" w:cs="Times New Roman"/>
          <w:color w:val="000000" w:themeColor="text1"/>
          <w:sz w:val="24"/>
          <w:szCs w:val="24"/>
          <w:lang w:val="en-GB"/>
        </w:rPr>
        <w:t xml:space="preserve"> </w:t>
      </w:r>
      <w:hyperlink r:id="rId5" w:tgtFrame="_new" w:history="1">
        <w:r w:rsidRPr="00C75F0D">
          <w:rPr>
            <w:rStyle w:val="Hypertextovprepojenie"/>
            <w:rFonts w:ascii="Times New Roman" w:hAnsi="Times New Roman" w:cs="Times New Roman"/>
            <w:color w:val="000000" w:themeColor="text1"/>
            <w:sz w:val="24"/>
            <w:szCs w:val="24"/>
            <w:lang w:val="en-GB"/>
          </w:rPr>
          <w:t>https://orcid.org/0009-0006-7927-2317</w:t>
        </w:r>
      </w:hyperlink>
    </w:p>
    <w:p w14:paraId="73FCB952" w14:textId="77777777" w:rsidR="00AA29FC" w:rsidRPr="00C75F0D" w:rsidRDefault="00AA29FC" w:rsidP="00AA29FC">
      <w:pPr>
        <w:pStyle w:val="Standard"/>
        <w:spacing w:after="0" w:line="360" w:lineRule="auto"/>
        <w:rPr>
          <w:rFonts w:ascii="Times New Roman" w:hAnsi="Times New Roman" w:cs="Times New Roman"/>
          <w:color w:val="000000" w:themeColor="text1"/>
          <w:sz w:val="24"/>
          <w:szCs w:val="24"/>
          <w:lang w:val="en-GB"/>
        </w:rPr>
      </w:pPr>
      <w:r w:rsidRPr="00C75F0D">
        <w:rPr>
          <w:rFonts w:ascii="Times New Roman" w:hAnsi="Times New Roman" w:cs="Times New Roman"/>
          <w:b/>
          <w:bCs/>
          <w:color w:val="000000" w:themeColor="text1"/>
          <w:sz w:val="24"/>
          <w:szCs w:val="24"/>
          <w:lang w:val="en-GB"/>
        </w:rPr>
        <w:t>Corresponding author</w:t>
      </w:r>
      <w:r w:rsidRPr="00C75F0D">
        <w:rPr>
          <w:rFonts w:ascii="Times New Roman" w:hAnsi="Times New Roman" w:cs="Times New Roman"/>
          <w:color w:val="000000" w:themeColor="text1"/>
          <w:sz w:val="24"/>
          <w:szCs w:val="24"/>
          <w:lang w:val="en-GB"/>
        </w:rPr>
        <w:t>: Stanislav Jurčišin (</w:t>
      </w:r>
      <w:hyperlink r:id="rId6" w:history="1">
        <w:r w:rsidRPr="00C75F0D">
          <w:rPr>
            <w:rStyle w:val="Hypertextovprepojenie"/>
            <w:rFonts w:ascii="Times New Roman" w:hAnsi="Times New Roman" w:cs="Times New Roman"/>
            <w:color w:val="000000" w:themeColor="text1"/>
            <w:sz w:val="24"/>
            <w:szCs w:val="24"/>
            <w:lang w:val="en-GB"/>
          </w:rPr>
          <w:t>stanislav.jurcisin@isrep.org</w:t>
        </w:r>
      </w:hyperlink>
      <w:r w:rsidRPr="00C75F0D">
        <w:rPr>
          <w:rFonts w:ascii="Times New Roman" w:hAnsi="Times New Roman" w:cs="Times New Roman"/>
          <w:sz w:val="24"/>
          <w:szCs w:val="24"/>
          <w:lang w:val="en-GB"/>
        </w:rPr>
        <w:t xml:space="preserve">, </w:t>
      </w:r>
      <w:hyperlink r:id="rId7" w:history="1">
        <w:r w:rsidRPr="00C75F0D">
          <w:rPr>
            <w:rStyle w:val="Hypertextovprepojenie"/>
            <w:rFonts w:ascii="Times New Roman" w:hAnsi="Times New Roman" w:cs="Times New Roman"/>
            <w:color w:val="000000" w:themeColor="text1"/>
            <w:sz w:val="24"/>
            <w:szCs w:val="24"/>
            <w:lang w:val="en-GB"/>
          </w:rPr>
          <w:t>stanojurcisin11@gmail.com</w:t>
        </w:r>
      </w:hyperlink>
      <w:r w:rsidRPr="00C75F0D">
        <w:rPr>
          <w:rFonts w:ascii="Times New Roman" w:hAnsi="Times New Roman" w:cs="Times New Roman"/>
          <w:color w:val="000000" w:themeColor="text1"/>
          <w:sz w:val="24"/>
          <w:szCs w:val="24"/>
          <w:lang w:val="en-GB"/>
        </w:rPr>
        <w:t xml:space="preserve"> )</w:t>
      </w:r>
    </w:p>
    <w:p w14:paraId="415E75A0" w14:textId="77777777" w:rsidR="00AA29FC" w:rsidRPr="00C75F0D" w:rsidRDefault="00AA29FC" w:rsidP="00AA29FC">
      <w:pPr>
        <w:rPr>
          <w:rFonts w:ascii="Times New Roman" w:hAnsi="Times New Roman" w:cs="Times New Roman"/>
          <w:lang w:val="en-GB"/>
        </w:rPr>
      </w:pPr>
      <w:r w:rsidRPr="00C75F0D">
        <w:rPr>
          <w:rFonts w:ascii="Times New Roman" w:hAnsi="Times New Roman" w:cs="Times New Roman"/>
          <w:b/>
          <w:bCs/>
          <w:lang w:val="en-GB"/>
        </w:rPr>
        <w:t xml:space="preserve">Keywords: </w:t>
      </w:r>
      <w:r w:rsidRPr="00C75F0D">
        <w:rPr>
          <w:rFonts w:ascii="Times New Roman" w:hAnsi="Times New Roman" w:cs="Times New Roman"/>
          <w:lang w:val="en-GB"/>
        </w:rPr>
        <w:t xml:space="preserve">Macroeconomic democracy; Cooperativism; r&gt;g dynamics; Productivity growth; Monetary reform; Wealth inequality. </w:t>
      </w:r>
    </w:p>
    <w:p w14:paraId="5FD35842" w14:textId="77777777" w:rsidR="00AA29FC" w:rsidRPr="00C75F0D" w:rsidRDefault="00AA29FC" w:rsidP="00AA29FC">
      <w:pPr>
        <w:rPr>
          <w:rFonts w:ascii="Times New Roman" w:hAnsi="Times New Roman" w:cs="Times New Roman"/>
          <w:b/>
          <w:bCs/>
          <w:lang w:val="en-GB"/>
        </w:rPr>
      </w:pPr>
    </w:p>
    <w:p w14:paraId="49EDD3B6" w14:textId="77777777" w:rsidR="00AA29FC" w:rsidRPr="00C75F0D" w:rsidRDefault="00AA29FC" w:rsidP="00AA29FC">
      <w:pPr>
        <w:rPr>
          <w:rFonts w:ascii="Times New Roman" w:hAnsi="Times New Roman" w:cs="Times New Roman"/>
          <w:b/>
          <w:bCs/>
          <w:lang w:val="en-GB"/>
        </w:rPr>
      </w:pPr>
      <w:r w:rsidRPr="00C75F0D">
        <w:rPr>
          <w:rFonts w:ascii="Times New Roman" w:hAnsi="Times New Roman" w:cs="Times New Roman"/>
          <w:b/>
          <w:bCs/>
          <w:lang w:val="en-GB"/>
        </w:rPr>
        <w:t>Abstract:</w:t>
      </w:r>
    </w:p>
    <w:p w14:paraId="43DFD0FF" w14:textId="77777777" w:rsidR="00AA29FC" w:rsidRPr="00C75F0D" w:rsidRDefault="00AA29FC" w:rsidP="00AA29FC">
      <w:pPr>
        <w:rPr>
          <w:rFonts w:ascii="Times New Roman" w:hAnsi="Times New Roman" w:cs="Times New Roman"/>
          <w:lang w:val="en-GB"/>
        </w:rPr>
      </w:pPr>
      <w:r w:rsidRPr="00C75F0D">
        <w:rPr>
          <w:rFonts w:ascii="Times New Roman" w:hAnsi="Times New Roman" w:cs="Times New Roman"/>
          <w:lang w:val="en-GB"/>
        </w:rPr>
        <w:t xml:space="preserve">In contemporary political economy, the concept of democracy is frequently reduced to formal political procedures or vague, populist rhetoric, while economic and political democracy are analyzed in isolation. This presentation introduces macroeconomic democracy as a novel, integrated theoretical framework designed to bridge this divide. We define macroeconomic democracy as an empirically assessable property of economic organization, measuring the degree to which economic positions are shaped by accountable decision-making and demonstrable contribution rather than inherited privilege, concentrated ownership, or structurally insulated power. The framework is decomposed into five core, interacting dimensions: capital ownership, income distribution, inheritance, democratic corporate governance, and the market mechanism. </w:t>
      </w:r>
    </w:p>
    <w:p w14:paraId="7C61A558" w14:textId="77777777" w:rsidR="00AA29FC" w:rsidRPr="00C75F0D" w:rsidRDefault="00AA29FC" w:rsidP="00AA29FC">
      <w:pPr>
        <w:rPr>
          <w:rFonts w:ascii="Times New Roman" w:hAnsi="Times New Roman" w:cs="Times New Roman"/>
          <w:lang w:val="en-GB"/>
        </w:rPr>
      </w:pPr>
      <w:r w:rsidRPr="00C75F0D">
        <w:rPr>
          <w:rFonts w:ascii="Times New Roman" w:hAnsi="Times New Roman" w:cs="Times New Roman"/>
          <w:lang w:val="en-GB"/>
        </w:rPr>
        <w:t xml:space="preserve">In the first part of the presentation, I will reinterpret macro-historical evidence to challenge mainstream growth theories that view productivity through isolated factors like technology or deregulation. I will show a systematic historical association between higher levels of macroeconomic democracy and stronger long-term productivity growth. Crucially, none of these dimensions works in isolation; sustainable productivity emerges as an emergent property of their coherent institutional interaction. Macroeconomic democracy does not replace markets; it provides the very environment where innovation can thrive over the long run. </w:t>
      </w:r>
    </w:p>
    <w:p w14:paraId="49111196" w14:textId="77777777" w:rsidR="00AA29FC" w:rsidRPr="00C75F0D" w:rsidRDefault="00AA29FC" w:rsidP="00AA29FC">
      <w:pPr>
        <w:rPr>
          <w:rFonts w:ascii="Times New Roman" w:hAnsi="Times New Roman" w:cs="Times New Roman"/>
          <w:lang w:val="en-GB"/>
        </w:rPr>
      </w:pPr>
      <w:r w:rsidRPr="00C75F0D">
        <w:rPr>
          <w:rFonts w:ascii="Times New Roman" w:hAnsi="Times New Roman" w:cs="Times New Roman"/>
          <w:lang w:val="en-GB"/>
        </w:rPr>
        <w:t xml:space="preserve">The core contribution of this talk, however, moves beyond diagnosing productivity to deliver a concrete solution to Thomas Piketty’s fundamental imbalance: the long-term divergence where the rate of return on capital exceeds economic growth (r &gt; g). I will demonstrate how the model of cooperativism operates as a closed macro-institutional system that simultaneously influences both parameters of this inequality. On one side, the high level of macroeconomic democracy acts as the engine to accelerate economic growth (g) through enhanced productivity. On the other side, the model directly decompresses the rate of return (r) by weakening the speculative and rentier mechanisms embedded in our financial architecture. By shifting money issuance to the public sector, transforming commercial </w:t>
      </w:r>
      <w:r w:rsidRPr="00C75F0D">
        <w:rPr>
          <w:rFonts w:ascii="Times New Roman" w:hAnsi="Times New Roman" w:cs="Times New Roman"/>
          <w:lang w:val="en-GB"/>
        </w:rPr>
        <w:lastRenderedPageBreak/>
        <w:t xml:space="preserve">banking into savings intermediation, reducing dividend leakages, and stabilizing housing affordability, the model structurally minimizes the rentier component of r. </w:t>
      </w:r>
    </w:p>
    <w:p w14:paraId="2EDC81A2" w14:textId="77777777" w:rsidR="00AA29FC" w:rsidRPr="00C75F0D" w:rsidRDefault="00AA29FC" w:rsidP="00AA29FC">
      <w:pPr>
        <w:rPr>
          <w:rFonts w:ascii="Times New Roman" w:hAnsi="Times New Roman" w:cs="Times New Roman"/>
          <w:lang w:val="en-GB"/>
        </w:rPr>
      </w:pPr>
      <w:r w:rsidRPr="00C75F0D">
        <w:rPr>
          <w:rFonts w:ascii="Times New Roman" w:hAnsi="Times New Roman" w:cs="Times New Roman"/>
          <w:lang w:val="en-GB"/>
        </w:rPr>
        <w:t>Ultimately, this presentation will outline a logically consistent theoretical mechanism for achieving long-term convergence between r and g, offering a rigorous roadmap for systemic economic transformation.</w:t>
      </w:r>
    </w:p>
    <w:p w14:paraId="5F3B5AC6" w14:textId="77777777" w:rsidR="00AA29FC" w:rsidRPr="00C75F0D" w:rsidRDefault="00AA29FC" w:rsidP="00BF7A7B">
      <w:pPr>
        <w:rPr>
          <w:rFonts w:ascii="Times New Roman" w:hAnsi="Times New Roman" w:cs="Times New Roman"/>
          <w:lang w:val="en-GB"/>
        </w:rPr>
      </w:pPr>
    </w:p>
    <w:p w14:paraId="4CF6812D" w14:textId="77777777" w:rsidR="00AA29FC" w:rsidRPr="00C75F0D" w:rsidRDefault="00AA29FC" w:rsidP="00BF7A7B">
      <w:pPr>
        <w:rPr>
          <w:rFonts w:ascii="Times New Roman" w:hAnsi="Times New Roman" w:cs="Times New Roman"/>
          <w:lang w:val="en-GB"/>
        </w:rPr>
      </w:pPr>
    </w:p>
    <w:p w14:paraId="02067593" w14:textId="77777777" w:rsidR="00AA29FC" w:rsidRPr="00C75F0D" w:rsidRDefault="00AA29FC" w:rsidP="00BF7A7B">
      <w:pPr>
        <w:rPr>
          <w:rFonts w:ascii="Times New Roman" w:hAnsi="Times New Roman" w:cs="Times New Roman"/>
          <w:lang w:val="en-GB"/>
        </w:rPr>
      </w:pPr>
    </w:p>
    <w:p w14:paraId="41ECBA2B" w14:textId="77777777" w:rsidR="00AA29FC" w:rsidRPr="00C75F0D" w:rsidRDefault="00AA29FC" w:rsidP="00BF7A7B">
      <w:pPr>
        <w:rPr>
          <w:rFonts w:ascii="Times New Roman" w:hAnsi="Times New Roman" w:cs="Times New Roman"/>
          <w:lang w:val="en-GB"/>
        </w:rPr>
      </w:pPr>
    </w:p>
    <w:p w14:paraId="1A4AE25F" w14:textId="77777777" w:rsidR="00AA29FC" w:rsidRPr="00C75F0D" w:rsidRDefault="00AA29FC" w:rsidP="00BF7A7B">
      <w:pPr>
        <w:rPr>
          <w:rFonts w:ascii="Times New Roman" w:hAnsi="Times New Roman" w:cs="Times New Roman"/>
          <w:lang w:val="en-GB"/>
        </w:rPr>
      </w:pPr>
    </w:p>
    <w:p w14:paraId="02A197FA" w14:textId="77777777" w:rsidR="00AA29FC" w:rsidRPr="00C75F0D" w:rsidRDefault="00AA29FC" w:rsidP="00BF7A7B">
      <w:pPr>
        <w:rPr>
          <w:rFonts w:ascii="Times New Roman" w:hAnsi="Times New Roman" w:cs="Times New Roman"/>
          <w:lang w:val="en-GB"/>
        </w:rPr>
      </w:pPr>
    </w:p>
    <w:p w14:paraId="76637536" w14:textId="77777777" w:rsidR="00AA29FC" w:rsidRPr="00C75F0D" w:rsidRDefault="00AA29FC" w:rsidP="00BF7A7B">
      <w:pPr>
        <w:rPr>
          <w:rFonts w:ascii="Times New Roman" w:hAnsi="Times New Roman" w:cs="Times New Roman"/>
          <w:lang w:val="en-GB"/>
        </w:rPr>
      </w:pPr>
    </w:p>
    <w:p w14:paraId="3C502D49" w14:textId="77777777" w:rsidR="00AA29FC" w:rsidRPr="00C75F0D" w:rsidRDefault="00AA29FC" w:rsidP="00BF7A7B">
      <w:pPr>
        <w:rPr>
          <w:rFonts w:ascii="Times New Roman" w:hAnsi="Times New Roman" w:cs="Times New Roman"/>
          <w:lang w:val="en-GB"/>
        </w:rPr>
      </w:pPr>
    </w:p>
    <w:p w14:paraId="19043C50" w14:textId="77777777" w:rsidR="00AA29FC" w:rsidRPr="00C75F0D" w:rsidRDefault="00AA29FC" w:rsidP="00BF7A7B">
      <w:pPr>
        <w:rPr>
          <w:rFonts w:ascii="Times New Roman" w:hAnsi="Times New Roman" w:cs="Times New Roman"/>
          <w:lang w:val="en-GB"/>
        </w:rPr>
      </w:pPr>
    </w:p>
    <w:p w14:paraId="2895EC40" w14:textId="77777777" w:rsidR="00AA29FC" w:rsidRPr="00C75F0D" w:rsidRDefault="00AA29FC" w:rsidP="00BF7A7B">
      <w:pPr>
        <w:rPr>
          <w:rFonts w:ascii="Times New Roman" w:hAnsi="Times New Roman" w:cs="Times New Roman"/>
          <w:lang w:val="en-GB"/>
        </w:rPr>
      </w:pPr>
    </w:p>
    <w:p w14:paraId="66A7EBC5" w14:textId="77777777" w:rsidR="00AA29FC" w:rsidRPr="00C75F0D" w:rsidRDefault="00AA29FC" w:rsidP="00BF7A7B">
      <w:pPr>
        <w:rPr>
          <w:rFonts w:ascii="Times New Roman" w:hAnsi="Times New Roman" w:cs="Times New Roman"/>
          <w:lang w:val="en-GB"/>
        </w:rPr>
      </w:pPr>
    </w:p>
    <w:p w14:paraId="2C4A5DEF" w14:textId="77777777" w:rsidR="00AA29FC" w:rsidRPr="00C75F0D" w:rsidRDefault="00AA29FC" w:rsidP="00BF7A7B">
      <w:pPr>
        <w:rPr>
          <w:rFonts w:ascii="Times New Roman" w:hAnsi="Times New Roman" w:cs="Times New Roman"/>
          <w:lang w:val="en-GB"/>
        </w:rPr>
      </w:pPr>
    </w:p>
    <w:p w14:paraId="45ABCBF7" w14:textId="77777777" w:rsidR="00AA29FC" w:rsidRPr="00C75F0D" w:rsidRDefault="00AA29FC" w:rsidP="00BF7A7B">
      <w:pPr>
        <w:rPr>
          <w:rFonts w:ascii="Times New Roman" w:hAnsi="Times New Roman" w:cs="Times New Roman"/>
          <w:lang w:val="en-GB"/>
        </w:rPr>
      </w:pPr>
    </w:p>
    <w:p w14:paraId="5E9BF80F" w14:textId="77777777" w:rsidR="00AA29FC" w:rsidRPr="00C75F0D" w:rsidRDefault="00AA29FC" w:rsidP="00BF7A7B">
      <w:pPr>
        <w:rPr>
          <w:rFonts w:ascii="Times New Roman" w:hAnsi="Times New Roman" w:cs="Times New Roman"/>
          <w:lang w:val="en-GB"/>
        </w:rPr>
      </w:pPr>
    </w:p>
    <w:p w14:paraId="2416F2B6" w14:textId="77777777" w:rsidR="00AA29FC" w:rsidRPr="00C75F0D" w:rsidRDefault="00AA29FC" w:rsidP="00BF7A7B">
      <w:pPr>
        <w:rPr>
          <w:rFonts w:ascii="Times New Roman" w:hAnsi="Times New Roman" w:cs="Times New Roman"/>
          <w:lang w:val="en-GB"/>
        </w:rPr>
      </w:pPr>
    </w:p>
    <w:p w14:paraId="3FE4E682" w14:textId="77777777" w:rsidR="00AA29FC" w:rsidRPr="00C75F0D" w:rsidRDefault="00AA29FC" w:rsidP="00BF7A7B">
      <w:pPr>
        <w:rPr>
          <w:rFonts w:ascii="Times New Roman" w:hAnsi="Times New Roman" w:cs="Times New Roman"/>
          <w:lang w:val="en-GB"/>
        </w:rPr>
      </w:pPr>
    </w:p>
    <w:p w14:paraId="02B9AE75" w14:textId="77777777" w:rsidR="00AA29FC" w:rsidRPr="00C75F0D" w:rsidRDefault="00AA29FC" w:rsidP="00BF7A7B">
      <w:pPr>
        <w:rPr>
          <w:rFonts w:ascii="Times New Roman" w:hAnsi="Times New Roman" w:cs="Times New Roman"/>
          <w:lang w:val="en-GB"/>
        </w:rPr>
      </w:pPr>
    </w:p>
    <w:p w14:paraId="7EAAEAC9" w14:textId="77777777" w:rsidR="00AA29FC" w:rsidRPr="00C75F0D" w:rsidRDefault="00AA29FC" w:rsidP="00BF7A7B">
      <w:pPr>
        <w:rPr>
          <w:rFonts w:ascii="Times New Roman" w:hAnsi="Times New Roman" w:cs="Times New Roman"/>
          <w:lang w:val="en-GB"/>
        </w:rPr>
      </w:pPr>
    </w:p>
    <w:p w14:paraId="15E66091" w14:textId="77777777" w:rsidR="00AA29FC" w:rsidRPr="00C75F0D" w:rsidRDefault="00AA29FC" w:rsidP="00BF7A7B">
      <w:pPr>
        <w:rPr>
          <w:rFonts w:ascii="Times New Roman" w:hAnsi="Times New Roman" w:cs="Times New Roman"/>
          <w:lang w:val="en-GB"/>
        </w:rPr>
      </w:pPr>
    </w:p>
    <w:p w14:paraId="7CC35C24" w14:textId="77777777" w:rsidR="00AA29FC" w:rsidRPr="00C75F0D" w:rsidRDefault="00AA29FC" w:rsidP="00BF7A7B">
      <w:pPr>
        <w:rPr>
          <w:rFonts w:ascii="Times New Roman" w:hAnsi="Times New Roman" w:cs="Times New Roman"/>
          <w:lang w:val="en-GB"/>
        </w:rPr>
      </w:pPr>
    </w:p>
    <w:p w14:paraId="0207B268" w14:textId="77777777" w:rsidR="00AA29FC" w:rsidRPr="00C75F0D" w:rsidRDefault="00AA29FC" w:rsidP="00BF7A7B">
      <w:pPr>
        <w:rPr>
          <w:rFonts w:ascii="Times New Roman" w:hAnsi="Times New Roman" w:cs="Times New Roman"/>
          <w:lang w:val="en-GB"/>
        </w:rPr>
      </w:pPr>
    </w:p>
    <w:p w14:paraId="38AB5F0D" w14:textId="77777777" w:rsidR="00AA29FC" w:rsidRPr="00C75F0D" w:rsidRDefault="00AA29FC" w:rsidP="00BF7A7B">
      <w:pPr>
        <w:rPr>
          <w:rFonts w:ascii="Times New Roman" w:hAnsi="Times New Roman" w:cs="Times New Roman"/>
          <w:lang w:val="en-GB"/>
        </w:rPr>
      </w:pPr>
    </w:p>
    <w:p w14:paraId="0A31E688" w14:textId="77777777" w:rsidR="00AA29FC" w:rsidRPr="00C75F0D" w:rsidRDefault="00AA29FC" w:rsidP="00BF7A7B">
      <w:pPr>
        <w:rPr>
          <w:rFonts w:ascii="Times New Roman" w:hAnsi="Times New Roman" w:cs="Times New Roman"/>
          <w:lang w:val="en-GB"/>
        </w:rPr>
      </w:pPr>
    </w:p>
    <w:p w14:paraId="54DDF0C7" w14:textId="77777777" w:rsidR="00B973CE" w:rsidRPr="00C75F0D" w:rsidRDefault="00B973CE" w:rsidP="00BF7A7B">
      <w:pPr>
        <w:rPr>
          <w:rFonts w:ascii="Times New Roman" w:hAnsi="Times New Roman" w:cs="Times New Roman"/>
          <w:lang w:val="en-GB"/>
        </w:rPr>
      </w:pPr>
    </w:p>
    <w:p w14:paraId="4F4F35FA" w14:textId="77777777" w:rsidR="00AA29FC" w:rsidRPr="00C75F0D" w:rsidRDefault="00AA29FC" w:rsidP="00BF7A7B">
      <w:pPr>
        <w:rPr>
          <w:rFonts w:ascii="Times New Roman" w:hAnsi="Times New Roman" w:cs="Times New Roman"/>
          <w:lang w:val="en-GB"/>
        </w:rPr>
      </w:pPr>
    </w:p>
    <w:p w14:paraId="5B784DF8" w14:textId="278333BB" w:rsidR="00BF7A7B" w:rsidRPr="00C75F0D" w:rsidRDefault="00BF7A7B" w:rsidP="00DF1034">
      <w:pPr>
        <w:pStyle w:val="Odsekzoznamu"/>
        <w:numPr>
          <w:ilvl w:val="0"/>
          <w:numId w:val="1"/>
        </w:numPr>
        <w:rPr>
          <w:rFonts w:ascii="Times New Roman" w:hAnsi="Times New Roman" w:cs="Times New Roman"/>
          <w:b/>
          <w:bCs/>
          <w:lang w:val="en-GB"/>
        </w:rPr>
      </w:pPr>
      <w:r w:rsidRPr="00C75F0D">
        <w:rPr>
          <w:rFonts w:ascii="Times New Roman" w:hAnsi="Times New Roman" w:cs="Times New Roman"/>
          <w:b/>
          <w:bCs/>
          <w:lang w:val="en-GB"/>
        </w:rPr>
        <w:lastRenderedPageBreak/>
        <w:t>Introduction</w:t>
      </w:r>
    </w:p>
    <w:p w14:paraId="3154149D" w14:textId="77777777" w:rsidR="00BF7A7B" w:rsidRPr="00C75F0D" w:rsidRDefault="00BF7A7B" w:rsidP="00BF7A7B">
      <w:pPr>
        <w:rPr>
          <w:rFonts w:ascii="Times New Roman" w:hAnsi="Times New Roman" w:cs="Times New Roman"/>
          <w:lang w:val="en-GB"/>
        </w:rPr>
      </w:pPr>
      <w:r w:rsidRPr="00C75F0D">
        <w:rPr>
          <w:rFonts w:ascii="Times New Roman" w:hAnsi="Times New Roman" w:cs="Times New Roman"/>
          <w:lang w:val="en-GB"/>
        </w:rPr>
        <w:t>Democracy is conventionally understood primarily in political terms. Elections, political representation and equal voting rights constitute its central institutional expressions. Yet political equality captures only part of the distribution of effective power within society. Two individuals may possess formally identical political rights while occupying radically different economic positions. One may control substantial capital and influence important economic decisions, while another may exercise very little influence over the economic structures that shape everyday life. Moreover, economic power can extend into the political sphere by affecting access to political influence, public debate and the institutional rules under which markets operate (Dahl 1985; Stiglitz 2012; Acemoglu and Robinson 2012; Piketty 2020).</w:t>
      </w:r>
    </w:p>
    <w:p w14:paraId="01A785A2" w14:textId="77777777" w:rsidR="00BF7A7B" w:rsidRPr="00C75F0D" w:rsidRDefault="00BF7A7B" w:rsidP="00BF7A7B">
      <w:pPr>
        <w:rPr>
          <w:rFonts w:ascii="Times New Roman" w:hAnsi="Times New Roman" w:cs="Times New Roman"/>
          <w:lang w:val="en-GB"/>
        </w:rPr>
      </w:pPr>
      <w:r w:rsidRPr="00C75F0D">
        <w:rPr>
          <w:rFonts w:ascii="Times New Roman" w:hAnsi="Times New Roman" w:cs="Times New Roman"/>
          <w:lang w:val="en-GB"/>
        </w:rPr>
        <w:t>Economic democracy addresses part of this problem, but it is most commonly analysed at the level of individual firms through employee participation, co-determination, employee ownership or cooperatives (Ellerman 1990; Dow 2003). These approaches provide important insights into workplace governance, yet firms operate within broader monetary, financial, ownership and political structures. Political and economic democracy therefore cannot be fully understood as separate domains.</w:t>
      </w:r>
    </w:p>
    <w:p w14:paraId="12BE4CFB" w14:textId="77777777" w:rsidR="00BF7A7B" w:rsidRPr="00C75F0D" w:rsidRDefault="00BF7A7B" w:rsidP="00BF7A7B">
      <w:pPr>
        <w:rPr>
          <w:rFonts w:ascii="Times New Roman" w:hAnsi="Times New Roman" w:cs="Times New Roman"/>
          <w:lang w:val="en-GB"/>
        </w:rPr>
      </w:pPr>
      <w:r w:rsidRPr="00C75F0D">
        <w:rPr>
          <w:rFonts w:ascii="Times New Roman" w:hAnsi="Times New Roman" w:cs="Times New Roman"/>
          <w:lang w:val="en-GB"/>
        </w:rPr>
        <w:t>This paper builds on the concept of macroeconomic democracy, defined as the degree to which economic positions, power and rewards are shaped by contribution, responsibility and accountable decision-making rather than by inherited privilege, concentrated ownership or structurally protected economic power (Jurčišin 2026a). The concept does not imply identical incomes or economic positions. Instead, it focuses on the institutional origins of economic differences and on whether economic power remains connected to contribution and responsibility.</w:t>
      </w:r>
    </w:p>
    <w:p w14:paraId="299BE458" w14:textId="77777777" w:rsidR="00BF7A7B" w:rsidRPr="00C75F0D" w:rsidRDefault="00BF7A7B" w:rsidP="00BF7A7B">
      <w:pPr>
        <w:rPr>
          <w:rFonts w:ascii="Times New Roman" w:hAnsi="Times New Roman" w:cs="Times New Roman"/>
          <w:lang w:val="en-GB"/>
        </w:rPr>
      </w:pPr>
      <w:r w:rsidRPr="00C75F0D">
        <w:rPr>
          <w:rFonts w:ascii="Times New Roman" w:hAnsi="Times New Roman" w:cs="Times New Roman"/>
          <w:lang w:val="en-GB"/>
        </w:rPr>
        <w:t>Macroeconomic democracy is analysed through several interconnected dimensions: the distribution of capital ownership and capital income, labour-income inequality, overall income inequality, inheritance, democratic participation within firms, and the functioning of the market mechanism. Political democracy and the monetary and financial system constitute broader supporting pillars of the framework. The central proposition is that none of these dimensions is sufficient in isolation; their interaction shapes the overall institutional environment of the economy.</w:t>
      </w:r>
    </w:p>
    <w:p w14:paraId="5C93DAEC" w14:textId="77777777" w:rsidR="00BF7A7B" w:rsidRPr="00C75F0D" w:rsidRDefault="00BF7A7B" w:rsidP="00BF7A7B">
      <w:pPr>
        <w:rPr>
          <w:rFonts w:ascii="Times New Roman" w:hAnsi="Times New Roman" w:cs="Times New Roman"/>
          <w:lang w:val="en-GB"/>
        </w:rPr>
      </w:pPr>
      <w:r w:rsidRPr="00C75F0D">
        <w:rPr>
          <w:rFonts w:ascii="Times New Roman" w:hAnsi="Times New Roman" w:cs="Times New Roman"/>
          <w:lang w:val="en-GB"/>
        </w:rPr>
        <w:t>This perspective also raises the question of whether macroeconomic democracy is related to long-term economic performance. Historical comparisons suggest an association between more balanced institutional configurations and stronger productivity growth, while the contrasting experiences of capitalism and socialism indicate the limitations of focusing exclusively on either markets or equality (Jurčišin 2026b). These patterns provide the basis for considering Cooperativism as a possible architecture combining broader democratic ownership, market coordination, political democracy and a sovereign monetary system.</w:t>
      </w:r>
    </w:p>
    <w:p w14:paraId="2F4274DA" w14:textId="7A66E5BF" w:rsidR="00BF7A7B" w:rsidRPr="00C75F0D" w:rsidRDefault="00BF7A7B" w:rsidP="00BF7A7B">
      <w:pPr>
        <w:rPr>
          <w:rFonts w:ascii="Times New Roman" w:hAnsi="Times New Roman" w:cs="Times New Roman"/>
          <w:lang w:val="en-GB"/>
        </w:rPr>
      </w:pPr>
      <w:r w:rsidRPr="00C75F0D">
        <w:rPr>
          <w:rFonts w:ascii="Times New Roman" w:hAnsi="Times New Roman" w:cs="Times New Roman"/>
          <w:lang w:val="en-GB"/>
        </w:rPr>
        <w:t xml:space="preserve">The analysis subsequently extends this argument to Piketty's (r&gt;g) problem. Rather than relying primarily on redistribution after capital returns have been generated, Cooperativism raises the hypothesis that institutional architecture may influence the determinants of both (r) </w:t>
      </w:r>
      <w:r w:rsidRPr="00C75F0D">
        <w:rPr>
          <w:rFonts w:ascii="Times New Roman" w:hAnsi="Times New Roman" w:cs="Times New Roman"/>
          <w:lang w:val="en-GB"/>
        </w:rPr>
        <w:lastRenderedPageBreak/>
        <w:t>and (g), potentially making their relationship more closely interdependent. The p</w:t>
      </w:r>
      <w:r w:rsidR="00B973CE" w:rsidRPr="00C75F0D">
        <w:rPr>
          <w:rFonts w:ascii="Times New Roman" w:hAnsi="Times New Roman" w:cs="Times New Roman"/>
          <w:lang w:val="en-GB"/>
        </w:rPr>
        <w:t>resentation paper</w:t>
      </w:r>
      <w:r w:rsidRPr="00C75F0D">
        <w:rPr>
          <w:rFonts w:ascii="Times New Roman" w:hAnsi="Times New Roman" w:cs="Times New Roman"/>
          <w:lang w:val="en-GB"/>
        </w:rPr>
        <w:t xml:space="preserve"> therefore brings together the theoretical, historical and institutional components of this research programme and concludes by outlining the next stage: systematic testing through Stock-Flow Consistent modelling, institutional modelling, agent-based modelling, stability analysis and behavioural approaches.</w:t>
      </w:r>
    </w:p>
    <w:p w14:paraId="691AE0A3" w14:textId="77777777" w:rsidR="00BF7A7B" w:rsidRPr="00C75F0D" w:rsidRDefault="00BF7A7B" w:rsidP="00BF7A7B">
      <w:pPr>
        <w:rPr>
          <w:rFonts w:ascii="Times New Roman" w:hAnsi="Times New Roman" w:cs="Times New Roman"/>
          <w:b/>
          <w:bCs/>
          <w:lang w:val="en-GB"/>
        </w:rPr>
      </w:pPr>
    </w:p>
    <w:p w14:paraId="374EF906" w14:textId="642E5556" w:rsidR="00375B8E" w:rsidRPr="00C75F0D" w:rsidRDefault="00375B8E" w:rsidP="00DF1034">
      <w:pPr>
        <w:pStyle w:val="Odsekzoznamu"/>
        <w:numPr>
          <w:ilvl w:val="0"/>
          <w:numId w:val="1"/>
        </w:numPr>
        <w:rPr>
          <w:rFonts w:ascii="Times New Roman" w:hAnsi="Times New Roman" w:cs="Times New Roman"/>
          <w:b/>
          <w:bCs/>
          <w:lang w:val="en-GB"/>
        </w:rPr>
      </w:pPr>
      <w:r w:rsidRPr="00C75F0D">
        <w:rPr>
          <w:rFonts w:ascii="Times New Roman" w:hAnsi="Times New Roman" w:cs="Times New Roman"/>
          <w:b/>
          <w:bCs/>
          <w:lang w:val="en-GB"/>
        </w:rPr>
        <w:t>Macroeconomic Democracy as a Systemic Concept</w:t>
      </w:r>
    </w:p>
    <w:p w14:paraId="6BB4262E" w14:textId="77777777" w:rsidR="00375B8E" w:rsidRPr="00C75F0D" w:rsidRDefault="00375B8E" w:rsidP="00375B8E">
      <w:pPr>
        <w:rPr>
          <w:rFonts w:ascii="Times New Roman" w:hAnsi="Times New Roman" w:cs="Times New Roman"/>
          <w:lang w:val="en-GB"/>
        </w:rPr>
      </w:pPr>
      <w:r w:rsidRPr="00C75F0D">
        <w:rPr>
          <w:rFonts w:ascii="Times New Roman" w:hAnsi="Times New Roman" w:cs="Times New Roman"/>
          <w:lang w:val="en-GB"/>
        </w:rPr>
        <w:t>Macroeconomic democracy is understood as a systemic property of the economic order rather than as a specific institutional model. It describes the degree to which economic positions, decision-making power and rewards are determined by contribution, responsibility and accountable decision-making, rather than by inherited privilege, concentrated ownership or structurally protected economic power. The central question is therefore not whether economic differences or hierarchies exist, but how they arise and on what basis they are legitimised.</w:t>
      </w:r>
    </w:p>
    <w:p w14:paraId="7929AC17" w14:textId="77777777" w:rsidR="00375B8E" w:rsidRPr="00C75F0D" w:rsidRDefault="00375B8E" w:rsidP="00375B8E">
      <w:pPr>
        <w:rPr>
          <w:rFonts w:ascii="Times New Roman" w:hAnsi="Times New Roman" w:cs="Times New Roman"/>
          <w:lang w:val="en-GB"/>
        </w:rPr>
      </w:pPr>
      <w:r w:rsidRPr="00C75F0D">
        <w:rPr>
          <w:rFonts w:ascii="Times New Roman" w:hAnsi="Times New Roman" w:cs="Times New Roman"/>
          <w:lang w:val="en-GB"/>
        </w:rPr>
        <w:t>Economic hierarchy is not necessarily incompatible with democratic principles. Differences in competence, responsibility and performance can legitimately generate differences in authority and remuneration. The problem arises when economic positions become detached from these mechanisms and are reproduced through ownership, inheritance or institutional privilege. Macroeconomic democracy therefore seeks to strengthen the connection between power, responsibility and measurable contribution (Alchian &amp; Demsetz, 1972; Williamson, 1985).</w:t>
      </w:r>
    </w:p>
    <w:p w14:paraId="4EBBF873" w14:textId="77777777" w:rsidR="00375B8E" w:rsidRPr="00C75F0D" w:rsidRDefault="00375B8E" w:rsidP="00375B8E">
      <w:pPr>
        <w:rPr>
          <w:rFonts w:ascii="Times New Roman" w:hAnsi="Times New Roman" w:cs="Times New Roman"/>
          <w:lang w:val="en-GB"/>
        </w:rPr>
      </w:pPr>
      <w:r w:rsidRPr="00C75F0D">
        <w:rPr>
          <w:rFonts w:ascii="Times New Roman" w:hAnsi="Times New Roman" w:cs="Times New Roman"/>
          <w:lang w:val="en-GB"/>
        </w:rPr>
        <w:t>Historically, capitalism represented an important departure from feudal structures in which economic positions were largely determined by inherited status. Markets connected rewards more closely to productive activity and performance. However, as capital ownership became concentrated, economic power could again become detached from individual contribution and reproduced across generations through ownership and inheritance (Berle &amp; Means, 1932; Piketty, 2014).</w:t>
      </w:r>
    </w:p>
    <w:p w14:paraId="1C3724A1" w14:textId="61757949" w:rsidR="00375B8E" w:rsidRPr="00C75F0D" w:rsidRDefault="00375B8E" w:rsidP="00375B8E">
      <w:pPr>
        <w:rPr>
          <w:rFonts w:ascii="Times New Roman" w:hAnsi="Times New Roman" w:cs="Times New Roman"/>
          <w:lang w:val="en-GB"/>
        </w:rPr>
      </w:pPr>
      <w:r w:rsidRPr="00C75F0D">
        <w:rPr>
          <w:rFonts w:ascii="Times New Roman" w:hAnsi="Times New Roman" w:cs="Times New Roman"/>
          <w:lang w:val="en-GB"/>
        </w:rPr>
        <w:t>Analytically, macroeconomic democracy can be decomposed into interconnected dimensions: capital ownership and capital income; labour-income inequality; overall income inequality; inheritance and equality of opportunity; democratic governance within firms; and the functioning of the market mechanism. Two broader systemic pillars—the monetary system and political democracy—shape the environment within which these dimensions operate.</w:t>
      </w:r>
    </w:p>
    <w:p w14:paraId="0A84E798" w14:textId="77777777" w:rsidR="00375B8E" w:rsidRPr="00C75F0D" w:rsidRDefault="00375B8E" w:rsidP="00375B8E">
      <w:pPr>
        <w:rPr>
          <w:rFonts w:ascii="Times New Roman" w:hAnsi="Times New Roman" w:cs="Times New Roman"/>
          <w:lang w:val="en-GB"/>
        </w:rPr>
      </w:pPr>
      <w:r w:rsidRPr="00C75F0D">
        <w:rPr>
          <w:rFonts w:ascii="Times New Roman" w:hAnsi="Times New Roman" w:cs="Times New Roman"/>
          <w:lang w:val="en-GB"/>
        </w:rPr>
        <w:t>The distribution of capital ownership is particularly important because ownership determines both income and control over productive resources. Around 2010, the top 10% owned approximately 60% of capital in Europe and 70% in the United States, while the bottom half owned only around 5%. Before the First World War, the top 10% in Europe controlled close to 90% (Piketty, 2014; World Inequality Database). Differences in rates of return can further reinforce this concentration over time.</w:t>
      </w:r>
    </w:p>
    <w:p w14:paraId="27B5610D" w14:textId="77777777" w:rsidR="00375B8E" w:rsidRPr="00C75F0D" w:rsidRDefault="00375B8E" w:rsidP="00375B8E">
      <w:pPr>
        <w:rPr>
          <w:rFonts w:ascii="Times New Roman" w:hAnsi="Times New Roman" w:cs="Times New Roman"/>
          <w:lang w:val="en-GB"/>
        </w:rPr>
      </w:pPr>
      <w:r w:rsidRPr="00C75F0D">
        <w:rPr>
          <w:rFonts w:ascii="Times New Roman" w:hAnsi="Times New Roman" w:cs="Times New Roman"/>
          <w:lang w:val="en-GB"/>
        </w:rPr>
        <w:t xml:space="preserve">Labour-income inequality is generally much lower than capital inequality, but the same principle applies: wage differences are not problematic in themselves if they remain </w:t>
      </w:r>
      <w:r w:rsidRPr="00C75F0D">
        <w:rPr>
          <w:rFonts w:ascii="Times New Roman" w:hAnsi="Times New Roman" w:cs="Times New Roman"/>
          <w:lang w:val="en-GB"/>
        </w:rPr>
        <w:lastRenderedPageBreak/>
        <w:t>connected to contribution, responsibility and accountable performance. Overall income inequality subsequently reflects the interaction between labour income and returns to capital.</w:t>
      </w:r>
    </w:p>
    <w:p w14:paraId="7458F75A" w14:textId="418690A0" w:rsidR="00375B8E" w:rsidRPr="00C75F0D" w:rsidRDefault="00375B8E" w:rsidP="00375B8E">
      <w:pPr>
        <w:rPr>
          <w:rFonts w:ascii="Times New Roman" w:hAnsi="Times New Roman" w:cs="Times New Roman"/>
          <w:lang w:val="en-GB"/>
        </w:rPr>
      </w:pPr>
      <w:r w:rsidRPr="00C75F0D">
        <w:rPr>
          <w:rFonts w:ascii="Times New Roman" w:hAnsi="Times New Roman" w:cs="Times New Roman"/>
          <w:lang w:val="en-GB"/>
        </w:rPr>
        <w:t>Inheritance introduces an intergenerational dimension. When inherited wealth becomes a major determinant of economic position, equality of opportunity weakens because advantages are transmitted independently of individual contribution. Its importance declined substantially during the exceptional post-war period but has increased again since the 1980s, contributing to what Piketty describes as the return of inherited capitalism (Piketty, 2014, 2020).</w:t>
      </w:r>
    </w:p>
    <w:p w14:paraId="14162A6A" w14:textId="77777777" w:rsidR="00375B8E" w:rsidRPr="00C75F0D" w:rsidRDefault="00375B8E" w:rsidP="00375B8E">
      <w:pPr>
        <w:rPr>
          <w:rFonts w:ascii="Times New Roman" w:hAnsi="Times New Roman" w:cs="Times New Roman"/>
          <w:lang w:val="en-GB"/>
        </w:rPr>
      </w:pPr>
      <w:r w:rsidRPr="00C75F0D">
        <w:rPr>
          <w:rFonts w:ascii="Times New Roman" w:hAnsi="Times New Roman" w:cs="Times New Roman"/>
          <w:lang w:val="en-GB"/>
        </w:rPr>
        <w:t>Democratic governance within firms should likewise be understood as a spectrum rather than a binary distinction between capitalist and cooperative enterprises. Institutional forms range from conventional investor-owned corporations through employee ownership and ESOPs to producer cooperatives. The central issue is how ownership, voting rights, strategic authority and economic returns are distributed. Cooperatives establish the closest institutional connection between membership, ownership and governance while remaining compatible with functional managerial hierarchies (Ellerman, 1990; Dow, 2003; Kruse, Freeman, &amp; Blasi, 2010; Pérotin, 2016).</w:t>
      </w:r>
    </w:p>
    <w:p w14:paraId="3165DB95" w14:textId="77777777" w:rsidR="00375B8E" w:rsidRPr="00C75F0D" w:rsidRDefault="00375B8E" w:rsidP="00375B8E">
      <w:pPr>
        <w:rPr>
          <w:rFonts w:ascii="Times New Roman" w:hAnsi="Times New Roman" w:cs="Times New Roman"/>
          <w:lang w:val="en-GB"/>
        </w:rPr>
      </w:pPr>
      <w:r w:rsidRPr="00C75F0D">
        <w:rPr>
          <w:rFonts w:ascii="Times New Roman" w:hAnsi="Times New Roman" w:cs="Times New Roman"/>
          <w:lang w:val="en-GB"/>
        </w:rPr>
        <w:t>The market mechanism constitutes the final core dimension. Historical experience indicates that economic democracy cannot be equated with the suppression of markets. Centrally planned systems encountered persistent problems of information, coordination, incentives and accountability. Markets provide decentralised information, competitive pressure and continuous feedback (Hayek, 1945; Kornai, 1992). The relevant question is therefore not whether markets should exist, but whether their institutional structure rewards productive contribution rather than protected economic power.</w:t>
      </w:r>
    </w:p>
    <w:p w14:paraId="2BA5AA03" w14:textId="77777777" w:rsidR="00375B8E" w:rsidRPr="00C75F0D" w:rsidRDefault="00375B8E" w:rsidP="00375B8E">
      <w:pPr>
        <w:rPr>
          <w:rFonts w:ascii="Times New Roman" w:hAnsi="Times New Roman" w:cs="Times New Roman"/>
          <w:lang w:val="en-GB"/>
        </w:rPr>
      </w:pPr>
      <w:r w:rsidRPr="00C75F0D">
        <w:rPr>
          <w:rFonts w:ascii="Times New Roman" w:hAnsi="Times New Roman" w:cs="Times New Roman"/>
          <w:lang w:val="en-GB"/>
        </w:rPr>
        <w:t>These dimensions operate within two broader supporting pillars. The monetary and financial system influences money and credit creation, investment and asset accumulation. Political democracy establishes and enforces the institutional rules governing ownership and markets, while economic power can in turn influence politics through lobbying, campaign financing and regulatory capture (Dahl, 1985; Gilens &amp; Page, 2014). Political and economic democracy are therefore distinct but systemically interdependent.</w:t>
      </w:r>
    </w:p>
    <w:p w14:paraId="0D78087D" w14:textId="77777777" w:rsidR="00375B8E" w:rsidRPr="00C75F0D" w:rsidRDefault="00375B8E" w:rsidP="00375B8E">
      <w:pPr>
        <w:rPr>
          <w:rFonts w:ascii="Times New Roman" w:hAnsi="Times New Roman" w:cs="Times New Roman"/>
          <w:lang w:val="en-GB"/>
        </w:rPr>
      </w:pPr>
      <w:r w:rsidRPr="00C75F0D">
        <w:rPr>
          <w:rFonts w:ascii="Times New Roman" w:hAnsi="Times New Roman" w:cs="Times New Roman"/>
          <w:lang w:val="en-GB"/>
        </w:rPr>
        <w:t>Methodologically, macroeconomic democracy is consequently a systemic, analytical and historically grounded concept. Ownership, inequality, inheritance, corporate governance, markets, money and political institutions interact and may reinforce or weaken one another. The objective is not to prescribe a single institutional model or claim simple causality, but to make these configurations observable, comparable and ultimately testable. The relevant unit of analysis is therefore the institutional configuration as a whole, rather than any single dimension in isolation.</w:t>
      </w:r>
    </w:p>
    <w:p w14:paraId="67811EEF" w14:textId="77777777" w:rsidR="00DF1034" w:rsidRPr="00C75F0D" w:rsidRDefault="00DF1034" w:rsidP="00375B8E">
      <w:pPr>
        <w:rPr>
          <w:rFonts w:ascii="Times New Roman" w:hAnsi="Times New Roman" w:cs="Times New Roman"/>
          <w:lang w:val="en-GB"/>
        </w:rPr>
      </w:pPr>
    </w:p>
    <w:p w14:paraId="05561528" w14:textId="1DE0ECBB" w:rsidR="00375B8E" w:rsidRPr="00C75F0D" w:rsidRDefault="00375B8E" w:rsidP="00DF1034">
      <w:pPr>
        <w:pStyle w:val="Odsekzoznamu"/>
        <w:numPr>
          <w:ilvl w:val="0"/>
          <w:numId w:val="1"/>
        </w:numPr>
        <w:rPr>
          <w:rFonts w:ascii="Times New Roman" w:hAnsi="Times New Roman" w:cs="Times New Roman"/>
          <w:b/>
          <w:bCs/>
          <w:lang w:val="en-GB"/>
        </w:rPr>
      </w:pPr>
      <w:r w:rsidRPr="00C75F0D">
        <w:rPr>
          <w:rFonts w:ascii="Times New Roman" w:hAnsi="Times New Roman" w:cs="Times New Roman"/>
          <w:b/>
          <w:bCs/>
          <w:lang w:val="en-GB"/>
        </w:rPr>
        <w:t>Macroeconomic Democracy and Productivity Growth</w:t>
      </w:r>
    </w:p>
    <w:p w14:paraId="64271A9C" w14:textId="4E8C70CE" w:rsidR="00595038" w:rsidRPr="00C75F0D" w:rsidRDefault="00595038" w:rsidP="00595038">
      <w:pPr>
        <w:rPr>
          <w:rFonts w:ascii="Times New Roman" w:hAnsi="Times New Roman" w:cs="Times New Roman"/>
          <w:lang w:val="en-GB"/>
        </w:rPr>
      </w:pPr>
      <w:r w:rsidRPr="00C75F0D">
        <w:rPr>
          <w:rFonts w:ascii="Times New Roman" w:hAnsi="Times New Roman" w:cs="Times New Roman"/>
          <w:lang w:val="en-GB"/>
        </w:rPr>
        <w:t xml:space="preserve">The concept of macroeconomic democracy becomes economically relevant not only as a framework for analysing the distribution of power and opportunity, but also through its </w:t>
      </w:r>
      <w:r w:rsidRPr="00C75F0D">
        <w:rPr>
          <w:rFonts w:ascii="Times New Roman" w:hAnsi="Times New Roman" w:cs="Times New Roman"/>
          <w:lang w:val="en-GB"/>
        </w:rPr>
        <w:lastRenderedPageBreak/>
        <w:t>possible relationship with long-term productivity growth. The central hypothesis is that productivity depends not simply on technological progress or capital accumulation, but also on the institutional environment through which technology, capital and human capabilities are mobilised. The relationship should not be interpreted as mechanically causal; rather, historical evidence points to recurring associations between institutional configurations and economic performance.</w:t>
      </w:r>
    </w:p>
    <w:p w14:paraId="4B34BF2B" w14:textId="77777777" w:rsidR="00595038" w:rsidRPr="00C75F0D" w:rsidRDefault="00595038" w:rsidP="00595038">
      <w:pPr>
        <w:rPr>
          <w:rFonts w:ascii="Times New Roman" w:hAnsi="Times New Roman" w:cs="Times New Roman"/>
          <w:lang w:val="en-GB"/>
        </w:rPr>
      </w:pPr>
      <w:r w:rsidRPr="00C75F0D">
        <w:rPr>
          <w:rFonts w:ascii="Times New Roman" w:hAnsi="Times New Roman" w:cs="Times New Roman"/>
          <w:lang w:val="en-GB"/>
        </w:rPr>
        <w:t>A useful starting point is the comparison between nineteenth-century liberal capitalism and the development of the welfare state. The period 1820–1913 combined substantial technological progress with extreme concentrations of income and wealth. The subsequent development of progressive taxation, labour protections, social insurance and public education reduced economic insecurity and inequality while strengthening the position of labour relative to capital (Atkinson, 2015; Piketty, 2014).</w:t>
      </w:r>
    </w:p>
    <w:p w14:paraId="3DA82366" w14:textId="77777777" w:rsidR="00595038" w:rsidRPr="00C75F0D" w:rsidRDefault="00595038" w:rsidP="00595038">
      <w:pPr>
        <w:rPr>
          <w:rFonts w:ascii="Times New Roman" w:hAnsi="Times New Roman" w:cs="Times New Roman"/>
          <w:lang w:val="en-GB"/>
        </w:rPr>
      </w:pPr>
      <w:r w:rsidRPr="00C75F0D">
        <w:rPr>
          <w:rFonts w:ascii="Times New Roman" w:hAnsi="Times New Roman" w:cs="Times New Roman"/>
          <w:lang w:val="en-GB"/>
        </w:rPr>
        <w:t>The accompanying productivity record is notable. Average annual growth in real GDP per capita in Western Europe increased from approximately 1.1% during 1820–1913 to around 1.9% during 1913–2012. This long-term comparison does not establish causality, but it is difficult to reconcile with the proposition that lower inequality, stronger labour institutions or an expanded welfare state necessarily undermine economic efficiency.</w:t>
      </w:r>
    </w:p>
    <w:p w14:paraId="7662C92F" w14:textId="77777777" w:rsidR="00595038" w:rsidRPr="00C75F0D" w:rsidRDefault="00595038" w:rsidP="00595038">
      <w:pPr>
        <w:rPr>
          <w:rFonts w:ascii="Times New Roman" w:hAnsi="Times New Roman" w:cs="Times New Roman"/>
          <w:lang w:val="en-GB"/>
        </w:rPr>
      </w:pPr>
      <w:r w:rsidRPr="00C75F0D">
        <w:rPr>
          <w:rFonts w:ascii="Times New Roman" w:hAnsi="Times New Roman" w:cs="Times New Roman"/>
          <w:lang w:val="en-GB"/>
        </w:rPr>
        <w:t>The post-war decades provide an even more striking, although more complex, comparison. Several dimensions of macroeconomic democracy moved simultaneously: wealth concentration and the importance of inheritance declined, labour's bargaining position strengthened, access to education expanded and social mobility increased. At the same time, Western Europe experienced exceptionally high productivity growth, averaging approximately 4.1% annually between 1950 and 1970, compared with about 1.5% between 1990 and 2012. Part of this exceptional performance undoubtedly reflected post-war reconstruction and technological catch-up, alongside structural transformation and expanding trade. These factors make it impossible to attribute the post-war productivity boom to institutional changes alone.</w:t>
      </w:r>
    </w:p>
    <w:p w14:paraId="7E2DF4A5" w14:textId="74CADC55" w:rsidR="00595038" w:rsidRPr="00C75F0D" w:rsidRDefault="00595038" w:rsidP="00595038">
      <w:pPr>
        <w:rPr>
          <w:rFonts w:ascii="Times New Roman" w:hAnsi="Times New Roman" w:cs="Times New Roman"/>
          <w:lang w:val="en-GB"/>
        </w:rPr>
      </w:pPr>
      <w:r w:rsidRPr="00C75F0D">
        <w:rPr>
          <w:rFonts w:ascii="Times New Roman" w:hAnsi="Times New Roman" w:cs="Times New Roman"/>
          <w:lang w:val="en-GB"/>
        </w:rPr>
        <w:t>Precisely for this reason, the United States provides an important additional comparison. Unlike Western Europe, the United States did not face post-war reconstruction and was already operating close to the technological frontier. Nevertheless, productivity growth averaged approximately 2.3% annually between 1950 and 1970, compared with around 1.4% between 1990 and 2012. Over the later period, income and wealth concentration also increased substantially despite continued technological advances. The parallel slowdown therefore cannot be explained by European reconstruction and catch-up effects alone. Nor does it demonstrate that rising inequality caused weaker productivity growth. Rather, the comparison supports the broader proposition that technology operates within an institutional environment, and that technological and institutional factors should be considered jointly when explaining long-term productivity performance.</w:t>
      </w:r>
    </w:p>
    <w:p w14:paraId="627AAD2B" w14:textId="77777777" w:rsidR="00595038" w:rsidRPr="00C75F0D" w:rsidRDefault="00595038" w:rsidP="00595038">
      <w:pPr>
        <w:rPr>
          <w:rFonts w:ascii="Times New Roman" w:hAnsi="Times New Roman" w:cs="Times New Roman"/>
          <w:lang w:val="en-GB"/>
        </w:rPr>
      </w:pPr>
    </w:p>
    <w:p w14:paraId="47B798BC" w14:textId="77777777" w:rsidR="00595038" w:rsidRPr="00C75F0D" w:rsidRDefault="00595038" w:rsidP="00595038">
      <w:pPr>
        <w:rPr>
          <w:rFonts w:ascii="Times New Roman" w:hAnsi="Times New Roman" w:cs="Times New Roman"/>
          <w:lang w:val="en-GB"/>
        </w:rPr>
      </w:pPr>
    </w:p>
    <w:p w14:paraId="440F5587" w14:textId="77777777" w:rsidR="00595038" w:rsidRPr="00C75F0D" w:rsidRDefault="00595038" w:rsidP="00595038">
      <w:pPr>
        <w:rPr>
          <w:rFonts w:ascii="Times New Roman" w:hAnsi="Times New Roman" w:cs="Times New Roman"/>
          <w:i/>
          <w:iCs/>
          <w:lang w:val="en-GB"/>
        </w:rPr>
      </w:pPr>
      <w:r w:rsidRPr="00C75F0D">
        <w:rPr>
          <w:rFonts w:ascii="Times New Roman" w:hAnsi="Times New Roman" w:cs="Times New Roman"/>
          <w:i/>
          <w:iCs/>
          <w:lang w:val="en-GB"/>
        </w:rPr>
        <w:lastRenderedPageBreak/>
        <w:t>Firm-level economic democracy and productivity</w:t>
      </w:r>
    </w:p>
    <w:p w14:paraId="1B50F1FD" w14:textId="0833D8FB" w:rsidR="00595038" w:rsidRPr="00C75F0D" w:rsidRDefault="00595038" w:rsidP="00595038">
      <w:pPr>
        <w:rPr>
          <w:rFonts w:ascii="Times New Roman" w:hAnsi="Times New Roman" w:cs="Times New Roman"/>
          <w:lang w:val="en-GB"/>
        </w:rPr>
      </w:pPr>
      <w:r w:rsidRPr="00C75F0D">
        <w:rPr>
          <w:rFonts w:ascii="Times New Roman" w:hAnsi="Times New Roman" w:cs="Times New Roman"/>
          <w:lang w:val="en-GB"/>
        </w:rPr>
        <w:t>Microeconomic evidence provides additional support for this interpretation. Research on employee participation, co-determination, employee ownership and cooperatives suggests that broader economic participation is compatible with more productive and competitive firms.</w:t>
      </w:r>
    </w:p>
    <w:p w14:paraId="0B603780" w14:textId="77777777" w:rsidR="00595038" w:rsidRPr="00C75F0D" w:rsidRDefault="00595038" w:rsidP="00595038">
      <w:pPr>
        <w:rPr>
          <w:rFonts w:ascii="Times New Roman" w:hAnsi="Times New Roman" w:cs="Times New Roman"/>
          <w:lang w:val="en-GB"/>
        </w:rPr>
      </w:pPr>
      <w:r w:rsidRPr="00C75F0D">
        <w:rPr>
          <w:rFonts w:ascii="Times New Roman" w:hAnsi="Times New Roman" w:cs="Times New Roman"/>
          <w:lang w:val="en-GB"/>
        </w:rPr>
        <w:t>German co-determination provides an important large-scale example. Employee representation on supervisory boards introduces participation into corporate governance while preserving private ownership, managerial structures and competitive markets. It demonstrates that economic democracy does not require the elimination of managerial hierarchy, but can instead introduce additional mechanisms of accountability and feedback.</w:t>
      </w:r>
    </w:p>
    <w:p w14:paraId="053DF302" w14:textId="77777777" w:rsidR="00595038" w:rsidRPr="00C75F0D" w:rsidRDefault="00595038" w:rsidP="00595038">
      <w:pPr>
        <w:rPr>
          <w:rFonts w:ascii="Times New Roman" w:hAnsi="Times New Roman" w:cs="Times New Roman"/>
          <w:lang w:val="en-GB"/>
        </w:rPr>
      </w:pPr>
      <w:r w:rsidRPr="00C75F0D">
        <w:rPr>
          <w:rFonts w:ascii="Times New Roman" w:hAnsi="Times New Roman" w:cs="Times New Roman"/>
          <w:lang w:val="en-GB"/>
        </w:rPr>
        <w:t>Worker cooperatives represent a more extensive form of economic democracy because ownership, governance and residual claims are more directly connected. The Mondragón cooperative network demonstrates that this form of organisation is not restricted to small or marginal enterprises. Its firms operate in competitive international markets and have displayed relatively low employment volatility and high levels of productivity.</w:t>
      </w:r>
    </w:p>
    <w:p w14:paraId="34A04E79" w14:textId="77777777" w:rsidR="00595038" w:rsidRPr="00C75F0D" w:rsidRDefault="00595038" w:rsidP="00595038">
      <w:pPr>
        <w:rPr>
          <w:rFonts w:ascii="Times New Roman" w:hAnsi="Times New Roman" w:cs="Times New Roman"/>
          <w:lang w:val="en-GB"/>
        </w:rPr>
      </w:pPr>
      <w:r w:rsidRPr="00C75F0D">
        <w:rPr>
          <w:rFonts w:ascii="Times New Roman" w:hAnsi="Times New Roman" w:cs="Times New Roman"/>
          <w:lang w:val="en-GB"/>
        </w:rPr>
        <w:t>Evidence from the United States points in a similar direction. Research on worker-owned plywood cooperatives found higher labour productivity than in comparable conventional firms even after differences in technology and capital intensity were considered (Craig &amp; Pencavel, 1992; Pencavel, Pistaferri, &amp; Schivardi, 2013). Reviews of the broader literature similarly conclude that participatory and employee-owned enterprises are generally at least as productive as conventional firms, with productivity effects typically positive or statistically insignificant rather than systematically negative (Doucouliagos, 1995; Pérotin, 2016).</w:t>
      </w:r>
    </w:p>
    <w:p w14:paraId="04EF3B06" w14:textId="77777777" w:rsidR="00595038" w:rsidRPr="00C75F0D" w:rsidRDefault="00595038" w:rsidP="00595038">
      <w:pPr>
        <w:rPr>
          <w:rFonts w:ascii="Times New Roman" w:hAnsi="Times New Roman" w:cs="Times New Roman"/>
          <w:lang w:val="en-GB"/>
        </w:rPr>
      </w:pPr>
      <w:r w:rsidRPr="00C75F0D">
        <w:rPr>
          <w:rFonts w:ascii="Times New Roman" w:hAnsi="Times New Roman" w:cs="Times New Roman"/>
          <w:lang w:val="en-GB"/>
        </w:rPr>
        <w:t>These findings challenge the assumption that broader participation necessarily weakens managerial authority or incentives. Democratic ownership may instead create additional incentive mechanisms by linking performance more closely to remuneration and employees' long-term interest in enterprise performance. At the same time, their effects remain dependent on markets, financing and the broader institutional environment.</w:t>
      </w:r>
    </w:p>
    <w:p w14:paraId="5482412B" w14:textId="77777777" w:rsidR="00595038" w:rsidRPr="00C75F0D" w:rsidRDefault="00595038" w:rsidP="00595038">
      <w:pPr>
        <w:rPr>
          <w:rFonts w:ascii="Times New Roman" w:hAnsi="Times New Roman" w:cs="Times New Roman"/>
          <w:lang w:val="en-GB"/>
        </w:rPr>
      </w:pPr>
    </w:p>
    <w:p w14:paraId="68B7F818" w14:textId="77777777" w:rsidR="00595038" w:rsidRPr="00C75F0D" w:rsidRDefault="00595038" w:rsidP="00595038">
      <w:pPr>
        <w:rPr>
          <w:rFonts w:ascii="Times New Roman" w:hAnsi="Times New Roman" w:cs="Times New Roman"/>
          <w:i/>
          <w:iCs/>
          <w:lang w:val="en-GB"/>
        </w:rPr>
      </w:pPr>
      <w:r w:rsidRPr="00C75F0D">
        <w:rPr>
          <w:rFonts w:ascii="Times New Roman" w:hAnsi="Times New Roman" w:cs="Times New Roman"/>
          <w:i/>
          <w:iCs/>
          <w:lang w:val="en-GB"/>
        </w:rPr>
        <w:t>Institutional complementarity: lessons from capitalism and socialism</w:t>
      </w:r>
    </w:p>
    <w:p w14:paraId="655F40F6" w14:textId="77777777" w:rsidR="00DA1AD4" w:rsidRPr="00C75F0D" w:rsidRDefault="00DA1AD4" w:rsidP="00DA1AD4">
      <w:pPr>
        <w:rPr>
          <w:rFonts w:ascii="Times New Roman" w:hAnsi="Times New Roman" w:cs="Times New Roman"/>
          <w:lang w:val="en-GB"/>
        </w:rPr>
      </w:pPr>
      <w:r w:rsidRPr="00C75F0D">
        <w:rPr>
          <w:rFonts w:ascii="Times New Roman" w:hAnsi="Times New Roman" w:cs="Times New Roman"/>
          <w:lang w:val="en-GB"/>
        </w:rPr>
        <w:t>The historical evidence points toward institutional complementarity among the dimensions of macroeconomic democracy. This is illustrated by the Swedish experience and becomes even clearer when capitalism and socialism are considered as contrasting institutional configurations.</w:t>
      </w:r>
    </w:p>
    <w:p w14:paraId="124C0AB1" w14:textId="77777777" w:rsidR="00DA1AD4" w:rsidRPr="00C75F0D" w:rsidRDefault="00DA1AD4" w:rsidP="00DA1AD4">
      <w:pPr>
        <w:rPr>
          <w:rFonts w:ascii="Times New Roman" w:hAnsi="Times New Roman" w:cs="Times New Roman"/>
          <w:lang w:val="en-GB"/>
        </w:rPr>
      </w:pPr>
      <w:r w:rsidRPr="00C75F0D">
        <w:rPr>
          <w:rFonts w:ascii="Times New Roman" w:hAnsi="Times New Roman" w:cs="Times New Roman"/>
          <w:lang w:val="en-GB"/>
        </w:rPr>
        <w:t>Sweden provides an important example because very low inequality did not automatically translate into superior productivity performance. During parts of the 1960s and 1970s, exceptionally compressed income distribution coexisted with relatively weaker productivity growth than in some comparable Western European economies. This should not be interpreted as evidence that equality itself reduced productivity, but rather that redistribution and equality cannot be considered independently of market incentives, investment signals and other institutional dimensions.</w:t>
      </w:r>
    </w:p>
    <w:p w14:paraId="0909F407" w14:textId="77777777" w:rsidR="00DA1AD4" w:rsidRPr="00C75F0D" w:rsidRDefault="00DA1AD4" w:rsidP="00DA1AD4">
      <w:pPr>
        <w:rPr>
          <w:rFonts w:ascii="Times New Roman" w:hAnsi="Times New Roman" w:cs="Times New Roman"/>
          <w:lang w:val="en-GB"/>
        </w:rPr>
      </w:pPr>
      <w:r w:rsidRPr="00C75F0D">
        <w:rPr>
          <w:rFonts w:ascii="Times New Roman" w:hAnsi="Times New Roman" w:cs="Times New Roman"/>
          <w:lang w:val="en-GB"/>
        </w:rPr>
        <w:lastRenderedPageBreak/>
        <w:t>State-socialist economies provide a more extreme historical example. They achieved very low levels of income and wealth inequality and greatly reduced the role of private capital ownership and inheritance. Yet these achievements were combined with weak or absent market mechanisms, limited political democracy and insufficient economic accountability. Although socialist economies were capable of rapid industrialisation and technological catch-up, these institutional weaknesses increasingly constrained productivity once the catch-up phase was exhausted (Kornai, 1992; Maddison, 2001).</w:t>
      </w:r>
    </w:p>
    <w:p w14:paraId="5DE35435" w14:textId="77777777" w:rsidR="00DA1AD4" w:rsidRPr="00C75F0D" w:rsidRDefault="00DA1AD4" w:rsidP="00DA1AD4">
      <w:pPr>
        <w:rPr>
          <w:rFonts w:ascii="Times New Roman" w:hAnsi="Times New Roman" w:cs="Times New Roman"/>
          <w:lang w:val="en-GB"/>
        </w:rPr>
      </w:pPr>
      <w:r w:rsidRPr="00C75F0D">
        <w:rPr>
          <w:rFonts w:ascii="Times New Roman" w:hAnsi="Times New Roman" w:cs="Times New Roman"/>
          <w:lang w:val="en-GB"/>
        </w:rPr>
        <w:t>Capitalism exhibits almost the reverse configuration. Competitive markets and political democracy provide powerful mechanisms for information, innovation and accountability, but the system has historically struggled to prevent the concentration and intergenerational reproduction of economic power. Capital ownership and inheritance can progressively detach economic position from individual contribution, while concentrated wealth may generate rent-seeking and influence both market and political institutions (Dahl, 1985; Gilens &amp; Page, 2014; Piketty, 2014).</w:t>
      </w:r>
    </w:p>
    <w:p w14:paraId="75226C46" w14:textId="77777777" w:rsidR="00DA1AD4" w:rsidRPr="00C75F0D" w:rsidRDefault="00DA1AD4" w:rsidP="00DA1AD4">
      <w:pPr>
        <w:rPr>
          <w:rFonts w:ascii="Times New Roman" w:hAnsi="Times New Roman" w:cs="Times New Roman"/>
          <w:lang w:val="en-GB"/>
        </w:rPr>
      </w:pPr>
      <w:r w:rsidRPr="00C75F0D">
        <w:rPr>
          <w:rFonts w:ascii="Times New Roman" w:hAnsi="Times New Roman" w:cs="Times New Roman"/>
          <w:lang w:val="en-GB"/>
        </w:rPr>
        <w:t>These experiences suggest that neither equality nor markets are sufficient in isolation. Sweden illustrates the limitations of focusing on equality without considering the surrounding institutional configuration; socialism reduced ownership concentration but weakened markets, political democracy and accountability; capitalism preserves markets and political competition but struggles to prevent the cumulative concentration of economic power. The relevant question is therefore whether an institutional architecture can combine functioning markets, political democracy and strong performance incentives with broader ownership, lower concentrations of economic power and a closer connection between authority, contribution and responsibility.</w:t>
      </w:r>
    </w:p>
    <w:p w14:paraId="44A0BB0E" w14:textId="77777777" w:rsidR="00DA1AD4" w:rsidRPr="00C75F0D" w:rsidRDefault="00DA1AD4" w:rsidP="00DA1AD4">
      <w:pPr>
        <w:rPr>
          <w:rFonts w:ascii="Times New Roman" w:hAnsi="Times New Roman" w:cs="Times New Roman"/>
          <w:lang w:val="en-GB"/>
        </w:rPr>
      </w:pPr>
      <w:r w:rsidRPr="00C75F0D">
        <w:rPr>
          <w:rFonts w:ascii="Times New Roman" w:hAnsi="Times New Roman" w:cs="Times New Roman"/>
          <w:lang w:val="en-GB"/>
        </w:rPr>
        <w:t>This is the central proposition of macroeconomic democracy. Its dimensions should not be understood independently but as components of an institutional configuration whose interaction may shape long-term productivity. Historical evidence suggests an association between higher levels of macroeconomic democracy and stronger long-term productivity performance, while also revealing substantial endogeneity. Institutions affect growth, but economic development simultaneously transforms institutions and ownership structures. The argument is therefore not one of simple causality, but of systemic institutional interaction.</w:t>
      </w:r>
    </w:p>
    <w:p w14:paraId="155FDE79" w14:textId="115B6740" w:rsidR="00DF1034" w:rsidRPr="00C75F0D" w:rsidRDefault="0062450F" w:rsidP="00DA1AD4">
      <w:pPr>
        <w:rPr>
          <w:rFonts w:ascii="Times New Roman" w:hAnsi="Times New Roman" w:cs="Times New Roman"/>
          <w:lang w:val="en-GB"/>
        </w:rPr>
      </w:pPr>
      <w:r w:rsidRPr="00C75F0D">
        <w:rPr>
          <w:rFonts w:ascii="Times New Roman" w:hAnsi="Times New Roman" w:cs="Times New Roman"/>
          <w:lang w:val="en-GB"/>
        </w:rPr>
        <w:t>This question also provides the starting point for considering Cooperativism as one possible architecture for achieving a high level of macroeconomic democracy.</w:t>
      </w:r>
    </w:p>
    <w:p w14:paraId="2AD3CEBD" w14:textId="77777777" w:rsidR="0062450F" w:rsidRPr="00C75F0D" w:rsidRDefault="0062450F" w:rsidP="00DA1AD4">
      <w:pPr>
        <w:rPr>
          <w:rFonts w:ascii="Times New Roman" w:hAnsi="Times New Roman" w:cs="Times New Roman"/>
          <w:lang w:val="en-GB"/>
        </w:rPr>
      </w:pPr>
    </w:p>
    <w:p w14:paraId="391A4E82" w14:textId="32C18F8B" w:rsidR="00DF1034" w:rsidRPr="00C75F0D" w:rsidRDefault="00BF7A7B" w:rsidP="00DF1034">
      <w:pPr>
        <w:pStyle w:val="Odsekzoznamu"/>
        <w:numPr>
          <w:ilvl w:val="0"/>
          <w:numId w:val="1"/>
        </w:numPr>
        <w:rPr>
          <w:rFonts w:ascii="Times New Roman" w:hAnsi="Times New Roman" w:cs="Times New Roman"/>
          <w:b/>
          <w:bCs/>
          <w:lang w:val="en-GB"/>
        </w:rPr>
      </w:pPr>
      <w:r w:rsidRPr="00C75F0D">
        <w:rPr>
          <w:rFonts w:ascii="Times New Roman" w:hAnsi="Times New Roman" w:cs="Times New Roman"/>
          <w:b/>
          <w:bCs/>
          <w:lang w:val="en-GB"/>
        </w:rPr>
        <w:t>Cooperativism as an Architecture of Macroeconomic Democracy</w:t>
      </w:r>
    </w:p>
    <w:p w14:paraId="52ABD575" w14:textId="77777777" w:rsidR="00BF7A7B" w:rsidRPr="00C75F0D" w:rsidRDefault="00BF7A7B" w:rsidP="00BF7A7B">
      <w:pPr>
        <w:rPr>
          <w:rFonts w:ascii="Times New Roman" w:hAnsi="Times New Roman" w:cs="Times New Roman"/>
          <w:lang w:val="en-GB"/>
        </w:rPr>
      </w:pPr>
      <w:r w:rsidRPr="00C75F0D">
        <w:rPr>
          <w:rFonts w:ascii="Times New Roman" w:hAnsi="Times New Roman" w:cs="Times New Roman"/>
          <w:lang w:val="en-GB"/>
        </w:rPr>
        <w:t xml:space="preserve">The preceding comparison suggests that the central challenge is not simply to choose between greater equality and stronger markets, but to identify an institutional configuration capable of combining the advantages historically associated with both capitalism and socialism while limiting their structural weaknesses. Cooperativism is considered here in this analytical sense: not as a predetermined normative solution, but as a possible application of the macroeconomic-democracy framework. It provides a reference architecture through which the </w:t>
      </w:r>
      <w:r w:rsidRPr="00C75F0D">
        <w:rPr>
          <w:rFonts w:ascii="Times New Roman" w:hAnsi="Times New Roman" w:cs="Times New Roman"/>
          <w:lang w:val="en-GB"/>
        </w:rPr>
        <w:lastRenderedPageBreak/>
        <w:t>interaction of ownership, markets, monetary institutions, political democracy and accountability can be examined.</w:t>
      </w:r>
    </w:p>
    <w:p w14:paraId="2528BE66" w14:textId="77777777" w:rsidR="00BF7A7B" w:rsidRPr="00C75F0D" w:rsidRDefault="00BF7A7B" w:rsidP="00BF7A7B">
      <w:pPr>
        <w:rPr>
          <w:rFonts w:ascii="Times New Roman" w:hAnsi="Times New Roman" w:cs="Times New Roman"/>
          <w:lang w:val="en-GB"/>
        </w:rPr>
      </w:pPr>
      <w:r w:rsidRPr="00C75F0D">
        <w:rPr>
          <w:rFonts w:ascii="Times New Roman" w:hAnsi="Times New Roman" w:cs="Times New Roman"/>
          <w:lang w:val="en-GB"/>
        </w:rPr>
        <w:t>The model is built around two principal institutional pillars: a sovereign monetary system and the gradual development of democratic and broadly distributed enterprise ownership (Jurčišin 2025). Importantly, neither markets nor political democracy are removed. Cooperativism therefore differs fundamentally from centrally planned socialism. The market remains the primary mechanism for decentralised coordination, price formation and competitive feedback, while political democracy provides the institutional framework within which economic rules are established and modified.</w:t>
      </w:r>
    </w:p>
    <w:p w14:paraId="271D212E" w14:textId="77777777" w:rsidR="00BF7A7B" w:rsidRPr="00C75F0D" w:rsidRDefault="00BF7A7B" w:rsidP="00BF7A7B">
      <w:pPr>
        <w:rPr>
          <w:rFonts w:ascii="Times New Roman" w:hAnsi="Times New Roman" w:cs="Times New Roman"/>
          <w:lang w:val="en-GB"/>
        </w:rPr>
      </w:pPr>
      <w:r w:rsidRPr="00C75F0D">
        <w:rPr>
          <w:rFonts w:ascii="Times New Roman" w:hAnsi="Times New Roman" w:cs="Times New Roman"/>
          <w:lang w:val="en-GB"/>
        </w:rPr>
        <w:t xml:space="preserve">The ownership component addresses one of the central limitations identified in conventional capitalism: the concentration of productive assets and the resulting separation between economic power and productive contribution. Producer cooperatives represent the clearest institutional expression of this principle because ownership, participation in governance and claims on residual income are more directly connected. However, the broader logic is not restricted to a single legal form. Employee ownership, employee ownership trusts, ESOPs and other arrangements that broaden productive ownership can occupy intermediate positions along the spectrum of economic democracy. What matters analytically is the distribution of control rights, voting power and economic returns rather than the formal label attached to the enterprise. </w:t>
      </w:r>
    </w:p>
    <w:p w14:paraId="238E9830" w14:textId="77777777" w:rsidR="00BF7A7B" w:rsidRPr="00C75F0D" w:rsidRDefault="00BF7A7B" w:rsidP="00BF7A7B">
      <w:pPr>
        <w:rPr>
          <w:rFonts w:ascii="Times New Roman" w:hAnsi="Times New Roman" w:cs="Times New Roman"/>
          <w:lang w:val="en-GB"/>
        </w:rPr>
      </w:pPr>
      <w:r w:rsidRPr="00C75F0D">
        <w:rPr>
          <w:rFonts w:ascii="Times New Roman" w:hAnsi="Times New Roman" w:cs="Times New Roman"/>
          <w:lang w:val="en-GB"/>
        </w:rPr>
        <w:t xml:space="preserve">This distinction also means that democratic ownership should not be equated with the elimination of management or hierarchy. Cooperativism assumes that complex organisations continue to require specialised management, differentiated responsibilities and effective decision-making structures. The objective is instead to create conditions in which managerial authority is more systematically linked to competence, performance and accountability. Functional hierarchies can therefore remain—and emerge endogenously—while ownership-based hierarchies and permanently insulated positions of power are reduced. </w:t>
      </w:r>
    </w:p>
    <w:p w14:paraId="30711EF0" w14:textId="77777777" w:rsidR="00BF7A7B" w:rsidRPr="00C75F0D" w:rsidRDefault="00BF7A7B" w:rsidP="00BF7A7B">
      <w:pPr>
        <w:rPr>
          <w:rFonts w:ascii="Times New Roman" w:hAnsi="Times New Roman" w:cs="Times New Roman"/>
          <w:lang w:val="en-GB"/>
        </w:rPr>
      </w:pPr>
      <w:r w:rsidRPr="00C75F0D">
        <w:rPr>
          <w:rFonts w:ascii="Times New Roman" w:hAnsi="Times New Roman" w:cs="Times New Roman"/>
          <w:lang w:val="en-GB"/>
        </w:rPr>
        <w:t>The monetary pillar addresses a different dimension of the same systemic problem. Monetary institutions affect not only macroeconomic stability but also the channels through which credit, assets and economic power accumulate. The framework therefore treats monetary design as part of the institutional architecture of macroeconomic democracy rather than as a purely technical question. The method of money creation, its relationship with credit and the channels through which purchasing power enters the economy can influence investment behaviour, asset accumulation and inequality. Within Cooperativism, a sovereign monetary framework is intended to reduce the structural dependence of money creation on interest-bearing private credit and to provide a more stable foundation for the broader ownership architecture (Jurčišin 2025).</w:t>
      </w:r>
    </w:p>
    <w:p w14:paraId="7EBCAB2F" w14:textId="77777777" w:rsidR="00BF7A7B" w:rsidRPr="00C75F0D" w:rsidRDefault="00BF7A7B" w:rsidP="00BF7A7B">
      <w:pPr>
        <w:rPr>
          <w:rFonts w:ascii="Times New Roman" w:hAnsi="Times New Roman" w:cs="Times New Roman"/>
          <w:lang w:val="en-GB"/>
        </w:rPr>
      </w:pPr>
      <w:r w:rsidRPr="00C75F0D">
        <w:rPr>
          <w:rFonts w:ascii="Times New Roman" w:hAnsi="Times New Roman" w:cs="Times New Roman"/>
          <w:lang w:val="en-GB"/>
        </w:rPr>
        <w:t xml:space="preserve">Crucially, these reforms are conceived within a market economy. Historical experience indicates that democratic ownership cannot substitute for effective market coordination. Competition provides information, exposes organisations to performance feedback and creates pressure for adaptation and innovation. The experience of centrally planned and self-managed socialist economies demonstrates that participation without effective market </w:t>
      </w:r>
      <w:r w:rsidRPr="00C75F0D">
        <w:rPr>
          <w:rFonts w:ascii="Times New Roman" w:hAnsi="Times New Roman" w:cs="Times New Roman"/>
          <w:lang w:val="en-GB"/>
        </w:rPr>
        <w:lastRenderedPageBreak/>
        <w:t>discipline and financial accountability can produce persistent inefficiencies (Estrin 1983; Kornai 1992). Cooperativism therefore seeks to alter the ownership and monetary structures within which markets operate rather than to replace markets themselves.</w:t>
      </w:r>
    </w:p>
    <w:p w14:paraId="27002DA6" w14:textId="77777777" w:rsidR="00BF7A7B" w:rsidRPr="00C75F0D" w:rsidRDefault="00BF7A7B" w:rsidP="00BF7A7B">
      <w:pPr>
        <w:rPr>
          <w:rFonts w:ascii="Times New Roman" w:hAnsi="Times New Roman" w:cs="Times New Roman"/>
          <w:lang w:val="en-GB"/>
        </w:rPr>
      </w:pPr>
      <w:r w:rsidRPr="00C75F0D">
        <w:rPr>
          <w:rFonts w:ascii="Times New Roman" w:hAnsi="Times New Roman" w:cs="Times New Roman"/>
          <w:lang w:val="en-GB"/>
        </w:rPr>
        <w:t xml:space="preserve">Political democracy performs a similarly indispensable role. Economic institutions require legitimate rule-making, enforcement and mechanisms through which institutional arrangements can be revised. At the same time, broader economic ownership may potentially reinforce political democracy by reducing extreme concentrations of economic power that can influence lobbying, regulation and political decision-making. The relationship is therefore reciprocal: political democracy supports macroeconomic democracy, while the distribution of economic power can affect the quality of political democracy itself. </w:t>
      </w:r>
    </w:p>
    <w:p w14:paraId="4CE411A5" w14:textId="77777777" w:rsidR="00BF7A7B" w:rsidRPr="00C75F0D" w:rsidRDefault="00BF7A7B" w:rsidP="00BF7A7B">
      <w:pPr>
        <w:rPr>
          <w:rFonts w:ascii="Times New Roman" w:hAnsi="Times New Roman" w:cs="Times New Roman"/>
          <w:lang w:val="en-GB"/>
        </w:rPr>
      </w:pPr>
      <w:r w:rsidRPr="00C75F0D">
        <w:rPr>
          <w:rFonts w:ascii="Times New Roman" w:hAnsi="Times New Roman" w:cs="Times New Roman"/>
          <w:lang w:val="en-GB"/>
        </w:rPr>
        <w:t>Seen in this way, Cooperativism is best understood as a system-level hypothesis about institutional complementarity. Its relevance does not depend on claiming that cooperatives, sovereign money or lower inequality individually generate superior outcomes. The proposition is instead that these components may operate differently when combined within a coherent architecture. Broader ownership could connect income and decision-making more closely to productive participation; markets could preserve competitive discipline and information signals; political democracy could provide institutional accountability; and monetary reform could modify some of the financial mechanisms through which economic concentration is reproduced.</w:t>
      </w:r>
    </w:p>
    <w:p w14:paraId="6485C6B3" w14:textId="77777777" w:rsidR="00BF7A7B" w:rsidRPr="00C75F0D" w:rsidRDefault="00BF7A7B" w:rsidP="00BF7A7B">
      <w:pPr>
        <w:rPr>
          <w:rFonts w:ascii="Times New Roman" w:hAnsi="Times New Roman" w:cs="Times New Roman"/>
          <w:lang w:val="en-GB"/>
        </w:rPr>
      </w:pPr>
      <w:r w:rsidRPr="00C75F0D">
        <w:rPr>
          <w:rFonts w:ascii="Times New Roman" w:hAnsi="Times New Roman" w:cs="Times New Roman"/>
          <w:lang w:val="en-GB"/>
        </w:rPr>
        <w:t>This interpretation also avoids treating Cooperativism as a finished blueprint. The macroeconomic-democracy framework is explicitly open to different institutional configurations and does not establish the superiority of any particular model in advance. Its purpose is to make such configurations systematically comparable and empirically testable. Cooperativism should therefore be understood as one candidate architecture—and, more specifically, as a research hypothesis concerning how a relatively high degree of macroeconomic democracy might be achieved while retaining markets, political democracy, incentives and functional economic differentiation. Whether these institutional complementarities would operate as hypothesised remains an empirical question and constitutes a central subject of the subsequent research programme.</w:t>
      </w:r>
    </w:p>
    <w:p w14:paraId="5EB70D7C" w14:textId="201CE8DD" w:rsidR="00C75F0D" w:rsidRPr="00C75F0D" w:rsidRDefault="00C75F0D" w:rsidP="00C75F0D">
      <w:pPr>
        <w:rPr>
          <w:rFonts w:ascii="Times New Roman" w:hAnsi="Times New Roman" w:cs="Times New Roman"/>
          <w:b/>
          <w:bCs/>
          <w:lang w:val="en-GB"/>
        </w:rPr>
      </w:pPr>
    </w:p>
    <w:p w14:paraId="723BAC8E" w14:textId="30BFB1F6" w:rsidR="00C75F0D" w:rsidRPr="00C75F0D" w:rsidRDefault="00C75F0D" w:rsidP="00C75F0D">
      <w:pPr>
        <w:pStyle w:val="Odsekzoznamu"/>
        <w:numPr>
          <w:ilvl w:val="0"/>
          <w:numId w:val="1"/>
        </w:numPr>
        <w:rPr>
          <w:rFonts w:ascii="Times New Roman" w:hAnsi="Times New Roman" w:cs="Times New Roman"/>
          <w:b/>
          <w:bCs/>
          <w:lang w:val="en-GB"/>
        </w:rPr>
      </w:pPr>
      <w:r w:rsidRPr="00C75F0D">
        <w:rPr>
          <w:rFonts w:ascii="Times New Roman" w:hAnsi="Times New Roman" w:cs="Times New Roman"/>
          <w:b/>
          <w:bCs/>
          <w:lang w:val="en-GB"/>
        </w:rPr>
        <w:t>From r &gt; g to the Interdependence of r and g</w:t>
      </w:r>
    </w:p>
    <w:p w14:paraId="17A3EC59" w14:textId="77777777" w:rsidR="00C75F0D" w:rsidRPr="00C75F0D" w:rsidRDefault="00C75F0D" w:rsidP="00C75F0D">
      <w:pPr>
        <w:rPr>
          <w:rFonts w:ascii="Times New Roman" w:hAnsi="Times New Roman" w:cs="Times New Roman"/>
          <w:lang w:val="en-GB"/>
        </w:rPr>
      </w:pPr>
      <w:r w:rsidRPr="00C75F0D">
        <w:rPr>
          <w:rFonts w:ascii="Times New Roman" w:hAnsi="Times New Roman" w:cs="Times New Roman"/>
          <w:lang w:val="en-GB"/>
        </w:rPr>
        <w:t xml:space="preserve">The preceding analysis of macroeconomic democracy leads to a broader question concerning the relationship between the rate of return on capital (r) and the rate of economic growth (g). Piketty's </w:t>
      </w:r>
      <w:r w:rsidRPr="00C75F0D">
        <w:rPr>
          <w:rFonts w:ascii="Times New Roman" w:hAnsi="Times New Roman" w:cs="Times New Roman"/>
          <w:i/>
          <w:iCs/>
          <w:lang w:val="en-GB"/>
        </w:rPr>
        <w:t>Capital in the Twenty-First Century</w:t>
      </w:r>
      <w:r w:rsidRPr="00C75F0D">
        <w:rPr>
          <w:rFonts w:ascii="Times New Roman" w:hAnsi="Times New Roman" w:cs="Times New Roman"/>
          <w:lang w:val="en-GB"/>
        </w:rPr>
        <w:t xml:space="preserve"> provides the central point of departure. Drawing on extensive historical evidence, Piketty argues that r has tended to exceed g over long periods. When existing wealth generates returns faster than the economy and national income grow, accumulated capital can expand more rapidly than income derived from labour and new productive activity. The result is a structural tendency toward increasing wealth concentration and a growing importance of inherited economic position (Piketty, 2014).</w:t>
      </w:r>
    </w:p>
    <w:p w14:paraId="06AECC08" w14:textId="77777777" w:rsidR="00C75F0D" w:rsidRPr="00C75F0D" w:rsidRDefault="00C75F0D" w:rsidP="00C75F0D">
      <w:pPr>
        <w:rPr>
          <w:rFonts w:ascii="Times New Roman" w:hAnsi="Times New Roman" w:cs="Times New Roman"/>
          <w:lang w:val="en-GB"/>
        </w:rPr>
      </w:pPr>
      <w:r w:rsidRPr="00C75F0D">
        <w:rPr>
          <w:rFonts w:ascii="Times New Roman" w:hAnsi="Times New Roman" w:cs="Times New Roman"/>
          <w:lang w:val="en-GB"/>
        </w:rPr>
        <w:lastRenderedPageBreak/>
        <w:t>Piketty's principal response follows logically from this diagnosis. Progressive taxation of capital, wealth and inheritance can reduce the effective return received by large wealth holders and thereby limit the cumulative consequences of r &gt; g. His most ambitious proposal—a globally coordinated progressive tax on capital—would directly address the mechanism through which large fortunes reproduce themselves. At the same time, Piketty acknowledges the considerable political and institutional difficulties involved. Capital mobility, international tax competition, differences between national tax systems and the need to identify and value complex assets imply that effective implementation would require extensive international coordination and administrative capacity (Piketty, 2014; Zucman, 2015).</w:t>
      </w:r>
    </w:p>
    <w:p w14:paraId="7AD5FD22" w14:textId="77777777" w:rsidR="00C75F0D" w:rsidRPr="00C75F0D" w:rsidRDefault="00C75F0D" w:rsidP="00C75F0D">
      <w:pPr>
        <w:rPr>
          <w:rFonts w:ascii="Times New Roman" w:hAnsi="Times New Roman" w:cs="Times New Roman"/>
          <w:lang w:val="en-GB"/>
        </w:rPr>
      </w:pPr>
      <w:r w:rsidRPr="00C75F0D">
        <w:rPr>
          <w:rFonts w:ascii="Times New Roman" w:hAnsi="Times New Roman" w:cs="Times New Roman"/>
          <w:lang w:val="en-GB"/>
        </w:rPr>
        <w:t>The distinction developed here is therefore not primarily between accepting or rejecting redistribution. It is between redistributing the outcomes generated by an institutional system and changing the institutional mechanisms through which those outcomes are generated in the first place. Cooperativism approaches the r &gt; g problem from the latter perspective. Rather than primarily taxing capital returns after they have arisen, it proposes changes in monetary institutions, ownership structures, financial competition and the circulation of economic resources. In this sense, it represents an institutional and predominantly predistributive approach.</w:t>
      </w:r>
    </w:p>
    <w:p w14:paraId="7E5D0453" w14:textId="77777777" w:rsidR="00C75F0D" w:rsidRPr="00C75F0D" w:rsidRDefault="00C75F0D" w:rsidP="00C75F0D">
      <w:pPr>
        <w:rPr>
          <w:rFonts w:ascii="Times New Roman" w:hAnsi="Times New Roman" w:cs="Times New Roman"/>
          <w:lang w:val="en-GB"/>
        </w:rPr>
      </w:pPr>
      <w:r w:rsidRPr="00C75F0D">
        <w:rPr>
          <w:rFonts w:ascii="Times New Roman" w:hAnsi="Times New Roman" w:cs="Times New Roman"/>
          <w:lang w:val="en-GB"/>
        </w:rPr>
        <w:t>The first side of this mechanism concerns r. Several elements of the proposed architecture could reduce returns that arise from institutional rents rather than productive activity. Sovereign money would reduce the role of interest-bearing private money creation and alter the mechanisms through which credit enters the economy. Improved housing affordability could reduce dependence on long-term mortgage debt and consequently some forms of rentier income associated with housing. Cooperative and broad-based ownership would return a greater proportion of profits either to enterprises through reinvestment or to a broader population of members and employee-owners. Greater competition through cooperative banking could also weaken oligopolistic rents in finance. The relevant hypothesis does not depend on any one of these mechanisms individually, but on their combined effect on the institutional determinants of capital returns.</w:t>
      </w:r>
    </w:p>
    <w:p w14:paraId="517BD179" w14:textId="5B92A422" w:rsidR="00C75F0D" w:rsidRPr="00C75F0D" w:rsidRDefault="00C75F0D" w:rsidP="00C75F0D">
      <w:pPr>
        <w:rPr>
          <w:rFonts w:ascii="Times New Roman" w:hAnsi="Times New Roman" w:cs="Times New Roman"/>
          <w:lang w:val="en-GB"/>
        </w:rPr>
      </w:pPr>
      <w:r w:rsidRPr="00C75F0D">
        <w:rPr>
          <w:rFonts w:ascii="Times New Roman" w:hAnsi="Times New Roman" w:cs="Times New Roman"/>
          <w:lang w:val="en-GB"/>
        </w:rPr>
        <w:t>The second side concerns g. The historical evidence discussed above suggests that a higher level of macroeconomic democracy may create a more favourable environment for productivity growth through broader participation, stronger accountability, greater equality of opportunity and more effective utilisation of human capital. If this relationship holds, Cooperativism would not attempt to narrow the r - g gap exclusively by suppressing r. It could potentially operate on both sides of the relationship simultaneously: reducing rentier components of capital returns while strengthening the institutional conditions supporting productivity and economic growth.</w:t>
      </w:r>
    </w:p>
    <w:p w14:paraId="161FE966" w14:textId="07AA031D" w:rsidR="00C75F0D" w:rsidRPr="00C75F0D" w:rsidRDefault="00C75F0D" w:rsidP="00C75F0D">
      <w:pPr>
        <w:rPr>
          <w:rFonts w:ascii="Times New Roman" w:hAnsi="Times New Roman" w:cs="Times New Roman"/>
          <w:lang w:val="en-GB"/>
        </w:rPr>
      </w:pPr>
      <w:r w:rsidRPr="00C75F0D">
        <w:rPr>
          <w:rFonts w:ascii="Times New Roman" w:hAnsi="Times New Roman" w:cs="Times New Roman"/>
          <w:lang w:val="en-GB"/>
        </w:rPr>
        <w:t xml:space="preserve">This distinction leads to the central hypothesis. The objective is not </w:t>
      </w:r>
      <w:r w:rsidR="00C731BD">
        <w:rPr>
          <w:rFonts w:ascii="Times New Roman" w:hAnsi="Times New Roman" w:cs="Times New Roman"/>
          <w:lang w:val="en-GB"/>
        </w:rPr>
        <w:t xml:space="preserve">just </w:t>
      </w:r>
      <w:r w:rsidRPr="00C75F0D">
        <w:rPr>
          <w:rFonts w:ascii="Times New Roman" w:hAnsi="Times New Roman" w:cs="Times New Roman"/>
          <w:lang w:val="en-GB"/>
        </w:rPr>
        <w:t xml:space="preserve">simply to make r lower or g higher. It is to investigate whether institutional architecture can change the relationship between the two variables themselves. Under conventional arrangements, capital returns can arise from productive investment but also from monopoly and oligopoly positions, </w:t>
      </w:r>
      <w:r w:rsidRPr="00C75F0D">
        <w:rPr>
          <w:rFonts w:ascii="Times New Roman" w:hAnsi="Times New Roman" w:cs="Times New Roman"/>
          <w:lang w:val="en-GB"/>
        </w:rPr>
        <w:lastRenderedPageBreak/>
        <w:t>financial rents, private money creation and other institutional advantages. Consequently, r may remain substantially detached from the productive performance of the real economy. If these sources of rent are reduced, returns to capital should increasingly reflect genuine investment demand, available savings, productivity and profitability in the productive economy.</w:t>
      </w:r>
    </w:p>
    <w:p w14:paraId="6149AABF" w14:textId="77777777" w:rsidR="00C75F0D" w:rsidRPr="00C75F0D" w:rsidRDefault="00C75F0D" w:rsidP="00C75F0D">
      <w:pPr>
        <w:rPr>
          <w:rFonts w:ascii="Times New Roman" w:hAnsi="Times New Roman" w:cs="Times New Roman"/>
          <w:lang w:val="en-GB"/>
        </w:rPr>
      </w:pPr>
      <w:r w:rsidRPr="00C75F0D">
        <w:rPr>
          <w:rFonts w:ascii="Times New Roman" w:hAnsi="Times New Roman" w:cs="Times New Roman"/>
          <w:lang w:val="en-GB"/>
        </w:rPr>
        <w:t>This proposition connects Cooperativism with several older traditions of economic thought. Classical and neoclassical approaches associate competitive returns on capital with marginal productivity, while theories of the natural rate of interest emphasise the relationship between saving, investment and real economic conditions. Sovereign-money approaches similarly argue that changing the institutional process of money creation could allow interest rates to reflect underlying economic conditions more closely. Cooperativism extends this proposition from monetary reform to a broader macroeconomic architecture by combining monetary transformation with democratic ownership, reinvestment, financial competition and changes in the distribution of economic power.</w:t>
      </w:r>
    </w:p>
    <w:p w14:paraId="6228402B" w14:textId="77777777" w:rsidR="00C75F0D" w:rsidRPr="00C75F0D" w:rsidRDefault="00C75F0D" w:rsidP="00C75F0D">
      <w:pPr>
        <w:rPr>
          <w:rFonts w:ascii="Times New Roman" w:hAnsi="Times New Roman" w:cs="Times New Roman"/>
          <w:lang w:val="en-GB"/>
        </w:rPr>
      </w:pPr>
      <w:r w:rsidRPr="00C75F0D">
        <w:rPr>
          <w:rFonts w:ascii="Times New Roman" w:hAnsi="Times New Roman" w:cs="Times New Roman"/>
          <w:lang w:val="en-GB"/>
        </w:rPr>
        <w:t>State socialism provides an important, although clearly non-normative, historical reference. Despite its severe weaknesses concerning markets, political democracy, innovation and accountability, its experience demonstrates that r &gt; g is not an immutable economic relationship. A fundamentally different ownership and institutional architecture was capable of suppressing the mechanisms through which private capital returns generated cumulative wealth concentration. Cooperativism asks whether some of this effect could be reproduced without eliminating markets, private economic initiative or political and workplace democracy.</w:t>
      </w:r>
    </w:p>
    <w:p w14:paraId="3D32A935" w14:textId="77777777" w:rsidR="00C75F0D" w:rsidRPr="00C75F0D" w:rsidRDefault="00C75F0D" w:rsidP="00C75F0D">
      <w:pPr>
        <w:rPr>
          <w:rFonts w:ascii="Times New Roman" w:hAnsi="Times New Roman" w:cs="Times New Roman"/>
          <w:lang w:val="en-GB"/>
        </w:rPr>
      </w:pPr>
      <w:r w:rsidRPr="00C75F0D">
        <w:rPr>
          <w:rFonts w:ascii="Times New Roman" w:hAnsi="Times New Roman" w:cs="Times New Roman"/>
          <w:lang w:val="en-GB"/>
        </w:rPr>
        <w:t>The resulting hypothesis is therefore stronger than simple convergence. If capital returns increasingly originate in productive activity rather than rents and institutional privilege, r should increasingly reflect the performance of the real economy and thus become more closely connected to g. Instead of two relatively independent variables that must repeatedly be brought closer together through external correction, they could become more strongly interdependent outcomes of the same institutional architecture. The absolute equilibrium level would remain dependent on productivity, technological development and wider economic conditions; the important proposition is the structural relationship between the variables rather than any predetermined numerical value.</w:t>
      </w:r>
    </w:p>
    <w:p w14:paraId="5B922C32" w14:textId="0EFDB3C8" w:rsidR="00C75F0D" w:rsidRPr="00C75F0D" w:rsidRDefault="00C75F0D" w:rsidP="00C75F0D">
      <w:pPr>
        <w:rPr>
          <w:rFonts w:ascii="Times New Roman" w:hAnsi="Times New Roman" w:cs="Times New Roman"/>
          <w:lang w:val="en-GB"/>
        </w:rPr>
      </w:pPr>
      <w:r w:rsidRPr="00C75F0D">
        <w:rPr>
          <w:rFonts w:ascii="Times New Roman" w:hAnsi="Times New Roman" w:cs="Times New Roman"/>
          <w:lang w:val="en-GB"/>
        </w:rPr>
        <w:t xml:space="preserve">This is also where Cooperativism differs from both conventional redistribution and more limited forms of predistribution. Redistribution operates predominantly </w:t>
      </w:r>
      <w:r w:rsidRPr="00C75F0D">
        <w:rPr>
          <w:rFonts w:ascii="Times New Roman" w:hAnsi="Times New Roman" w:cs="Times New Roman"/>
          <w:i/>
          <w:iCs/>
          <w:lang w:val="en-GB"/>
        </w:rPr>
        <w:t>ex post</w:t>
      </w:r>
      <w:r w:rsidRPr="00C75F0D">
        <w:rPr>
          <w:rFonts w:ascii="Times New Roman" w:hAnsi="Times New Roman" w:cs="Times New Roman"/>
          <w:lang w:val="en-GB"/>
        </w:rPr>
        <w:t>, correcting outcomes after market incomes and capital returns have been generated. Predistributive policies seek to alter some of the institutional conditions under which primary distribution occurs. Cooperativism proposes a more integrated form of systemic predistribution, in which ownership, money, finance, markets and public-sector cooperation jointly shape the generation and circulation of economic resources</w:t>
      </w:r>
      <w:r w:rsidR="00961EE2">
        <w:rPr>
          <w:rFonts w:ascii="Times New Roman" w:hAnsi="Times New Roman" w:cs="Times New Roman"/>
          <w:lang w:val="en-GB"/>
        </w:rPr>
        <w:t xml:space="preserve"> </w:t>
      </w:r>
      <w:r w:rsidR="00961EE2" w:rsidRPr="00961EE2">
        <w:rPr>
          <w:rFonts w:ascii="Times New Roman" w:hAnsi="Times New Roman" w:cs="Times New Roman"/>
        </w:rPr>
        <w:t>(Jurčišin, 2026d)</w:t>
      </w:r>
      <w:r w:rsidRPr="00C75F0D">
        <w:rPr>
          <w:rFonts w:ascii="Times New Roman" w:hAnsi="Times New Roman" w:cs="Times New Roman"/>
          <w:lang w:val="en-GB"/>
        </w:rPr>
        <w:t>. If the architecture operated as hypothesised, convergence between r and g would become increasingly endogenous rather than dependent on permanent corrective intervention.</w:t>
      </w:r>
    </w:p>
    <w:p w14:paraId="11B6611E" w14:textId="77777777" w:rsidR="00C75F0D" w:rsidRPr="00C75F0D" w:rsidRDefault="00C75F0D" w:rsidP="00C75F0D">
      <w:pPr>
        <w:rPr>
          <w:rFonts w:ascii="Times New Roman" w:hAnsi="Times New Roman" w:cs="Times New Roman"/>
          <w:lang w:val="en-GB"/>
        </w:rPr>
      </w:pPr>
      <w:r w:rsidRPr="00C75F0D">
        <w:rPr>
          <w:rFonts w:ascii="Times New Roman" w:hAnsi="Times New Roman" w:cs="Times New Roman"/>
          <w:lang w:val="en-GB"/>
        </w:rPr>
        <w:lastRenderedPageBreak/>
        <w:t>This remains a theoretical proposition rather than an established empirical result. Its significance lies in shifting the research question. Instead of asking only how the consequences of r &gt; g can be redistributed, the relevant question becomes whether economic institutions can be designed so that returns on capital themselves become more closely tied to the productive performance of the economy. If supported empirically, this would imply that institutional architecture determines not only the levels of r and g, but potentially the nature of the relationship between them.</w:t>
      </w:r>
    </w:p>
    <w:p w14:paraId="320D7614" w14:textId="7B24A01C" w:rsidR="00BF7A7B" w:rsidRPr="00C75F0D" w:rsidRDefault="00BF7A7B" w:rsidP="00BF7A7B">
      <w:pPr>
        <w:rPr>
          <w:rFonts w:ascii="Times New Roman" w:hAnsi="Times New Roman" w:cs="Times New Roman"/>
          <w:lang w:val="en-GB"/>
        </w:rPr>
      </w:pPr>
    </w:p>
    <w:p w14:paraId="13C51F11" w14:textId="395DA2F4" w:rsidR="00375B8E" w:rsidRPr="00C75F0D" w:rsidRDefault="00375B8E" w:rsidP="00DF1034">
      <w:pPr>
        <w:pStyle w:val="Odsekzoznamu"/>
        <w:numPr>
          <w:ilvl w:val="0"/>
          <w:numId w:val="1"/>
        </w:numPr>
        <w:rPr>
          <w:rFonts w:ascii="Times New Roman" w:hAnsi="Times New Roman" w:cs="Times New Roman"/>
          <w:b/>
          <w:bCs/>
          <w:lang w:val="en-GB"/>
        </w:rPr>
      </w:pPr>
      <w:r w:rsidRPr="00C75F0D">
        <w:rPr>
          <w:rFonts w:ascii="Times New Roman" w:hAnsi="Times New Roman" w:cs="Times New Roman"/>
          <w:b/>
          <w:bCs/>
          <w:lang w:val="en-GB"/>
        </w:rPr>
        <w:t>From Theory to Systematic Testing</w:t>
      </w:r>
    </w:p>
    <w:p w14:paraId="0C4587D3" w14:textId="77777777" w:rsidR="00375B8E" w:rsidRPr="00C75F0D" w:rsidRDefault="00375B8E" w:rsidP="00375B8E">
      <w:pPr>
        <w:rPr>
          <w:rFonts w:ascii="Times New Roman" w:hAnsi="Times New Roman" w:cs="Times New Roman"/>
          <w:lang w:val="en-GB"/>
        </w:rPr>
      </w:pPr>
      <w:r w:rsidRPr="00C75F0D">
        <w:rPr>
          <w:rFonts w:ascii="Times New Roman" w:hAnsi="Times New Roman" w:cs="Times New Roman"/>
          <w:lang w:val="en-GB"/>
        </w:rPr>
        <w:t>The arguments developed above remain hypotheses that require systematic empirical and computational testing. For this purpose, a broader methodological framework has been developed to evaluate Cooperativism as an integrated macroeconomic architecture rather than as a collection of isolated institutional reforms (Jurčišin, 2026c). The framework responds to a central methodological problem: monetary systems, ownership structures, productivity, financial stability and behavioural power dynamics are generally analysed through separate disciplinary and modelling traditions, despite their potentially strong interactions.</w:t>
      </w:r>
    </w:p>
    <w:p w14:paraId="6278696A" w14:textId="685C4E34" w:rsidR="00375B8E" w:rsidRPr="00C75F0D" w:rsidRDefault="00375B8E" w:rsidP="00375B8E">
      <w:pPr>
        <w:rPr>
          <w:rFonts w:ascii="Times New Roman" w:hAnsi="Times New Roman" w:cs="Times New Roman"/>
          <w:lang w:val="en-GB"/>
        </w:rPr>
      </w:pPr>
      <w:r w:rsidRPr="00C75F0D">
        <w:rPr>
          <w:rFonts w:ascii="Times New Roman" w:hAnsi="Times New Roman" w:cs="Times New Roman"/>
          <w:lang w:val="en-GB"/>
        </w:rPr>
        <w:t>The proposed framework therefore combines five complementary analytical modules: a Stock–Flow Consistent (SFC) model, an institutional model of macroeconomic democracy and the relationship</w:t>
      </w:r>
      <w:r w:rsidR="00A8600D">
        <w:rPr>
          <w:rFonts w:ascii="Times New Roman" w:hAnsi="Times New Roman" w:cs="Times New Roman"/>
          <w:lang w:val="en-GB"/>
        </w:rPr>
        <w:t xml:space="preserve"> between r and g</w:t>
      </w:r>
      <w:r w:rsidRPr="00C75F0D">
        <w:rPr>
          <w:rFonts w:ascii="Times New Roman" w:hAnsi="Times New Roman" w:cs="Times New Roman"/>
          <w:lang w:val="en-GB"/>
        </w:rPr>
        <w:t>, an agent-based model (ABM), a financial and digital stability module, and a behavioural model of power and group dynamics (Jurčišin, 2026c). The SFC component tests the accounting and financial consistency of the proposed monetary architecture, while the institutional model examines how changes in macroeconomic democracy may affect productivity and the rentier component of capital returns. The ABM introduces heterogeneous agents and allows distributional and micro–macro dynamics to emerge from individual behaviour. Financial stability is examined separately through balance-sheet structures and stress testing.</w:t>
      </w:r>
    </w:p>
    <w:p w14:paraId="4070F773" w14:textId="77777777" w:rsidR="00375B8E" w:rsidRPr="00C75F0D" w:rsidRDefault="00375B8E" w:rsidP="00375B8E">
      <w:pPr>
        <w:rPr>
          <w:rFonts w:ascii="Times New Roman" w:hAnsi="Times New Roman" w:cs="Times New Roman"/>
          <w:lang w:val="en-GB"/>
        </w:rPr>
      </w:pPr>
      <w:r w:rsidRPr="00C75F0D">
        <w:rPr>
          <w:rFonts w:ascii="Times New Roman" w:hAnsi="Times New Roman" w:cs="Times New Roman"/>
          <w:lang w:val="en-GB"/>
        </w:rPr>
        <w:t>The behavioural module extends the framework beyond conventional macroeconomics by linking institutional structures to structural uncertainty, exclusionary dynamics and interpretive dominance. These mechanisms provide a bridge between group psychology, organisational governance and aggregate economic performance.</w:t>
      </w:r>
    </w:p>
    <w:p w14:paraId="48D1DEDA" w14:textId="77777777" w:rsidR="00375B8E" w:rsidRPr="00C75F0D" w:rsidRDefault="00375B8E" w:rsidP="00375B8E">
      <w:pPr>
        <w:rPr>
          <w:rFonts w:ascii="Times New Roman" w:hAnsi="Times New Roman" w:cs="Times New Roman"/>
          <w:lang w:val="en-GB"/>
        </w:rPr>
      </w:pPr>
      <w:r w:rsidRPr="00C75F0D">
        <w:rPr>
          <w:rFonts w:ascii="Times New Roman" w:hAnsi="Times New Roman" w:cs="Times New Roman"/>
          <w:lang w:val="en-GB"/>
        </w:rPr>
        <w:t>Importantly, the framework does not mathematically impose the expected superiority of Cooperativism. Whether greater macroeconomic democracy narrows, stabilises, leaves unchanged or even reverses the relationship is explicitly treated as an empirical question to be resolved through calibration, sensitivity analysis and simulation (Jurčišin, 2026c). The research programme therefore moves from theoretical and historical formulation toward a genuinely interdisciplinary testing phase combining macroeconomics, computational modelling and behavioural analysis.</w:t>
      </w:r>
    </w:p>
    <w:p w14:paraId="455FC80A" w14:textId="77777777" w:rsidR="00375B8E" w:rsidRPr="00C75F0D" w:rsidRDefault="00375B8E" w:rsidP="00BF7A7B">
      <w:pPr>
        <w:rPr>
          <w:rFonts w:ascii="Times New Roman" w:hAnsi="Times New Roman" w:cs="Times New Roman"/>
          <w:lang w:val="en-GB"/>
        </w:rPr>
      </w:pPr>
    </w:p>
    <w:p w14:paraId="429958DA" w14:textId="77777777" w:rsidR="00E913E4" w:rsidRDefault="00E913E4" w:rsidP="00375B8E">
      <w:pPr>
        <w:rPr>
          <w:rFonts w:ascii="Times New Roman" w:hAnsi="Times New Roman" w:cs="Times New Roman"/>
          <w:b/>
          <w:bCs/>
          <w:lang w:val="en-GB"/>
        </w:rPr>
      </w:pPr>
    </w:p>
    <w:p w14:paraId="4A9606E7" w14:textId="3C4BCA36" w:rsidR="00375B8E" w:rsidRPr="00C75F0D" w:rsidRDefault="00375B8E" w:rsidP="00375B8E">
      <w:pPr>
        <w:rPr>
          <w:rFonts w:ascii="Times New Roman" w:hAnsi="Times New Roman" w:cs="Times New Roman"/>
          <w:b/>
          <w:bCs/>
          <w:lang w:val="en-GB"/>
        </w:rPr>
      </w:pPr>
      <w:r w:rsidRPr="00C75F0D">
        <w:rPr>
          <w:rFonts w:ascii="Times New Roman" w:hAnsi="Times New Roman" w:cs="Times New Roman"/>
          <w:b/>
          <w:bCs/>
          <w:lang w:val="en-GB"/>
        </w:rPr>
        <w:lastRenderedPageBreak/>
        <w:t>References</w:t>
      </w:r>
    </w:p>
    <w:p w14:paraId="7893974B" w14:textId="77777777" w:rsidR="00375B8E" w:rsidRPr="00C75F0D" w:rsidRDefault="00375B8E" w:rsidP="00375B8E">
      <w:pPr>
        <w:rPr>
          <w:rFonts w:ascii="Times New Roman" w:hAnsi="Times New Roman" w:cs="Times New Roman"/>
          <w:lang w:val="en-GB"/>
        </w:rPr>
      </w:pPr>
      <w:r w:rsidRPr="00C75F0D">
        <w:rPr>
          <w:rFonts w:ascii="Times New Roman" w:hAnsi="Times New Roman" w:cs="Times New Roman"/>
          <w:lang w:val="en-GB"/>
        </w:rPr>
        <w:t xml:space="preserve">Acemoglu, D., &amp; Robinson, J. A. (2012). </w:t>
      </w:r>
      <w:r w:rsidRPr="00C75F0D">
        <w:rPr>
          <w:rFonts w:ascii="Times New Roman" w:hAnsi="Times New Roman" w:cs="Times New Roman"/>
          <w:i/>
          <w:iCs/>
          <w:lang w:val="en-GB"/>
        </w:rPr>
        <w:t>Why nations fail: The origins of power, prosperity, and poverty</w:t>
      </w:r>
      <w:r w:rsidRPr="00C75F0D">
        <w:rPr>
          <w:rFonts w:ascii="Times New Roman" w:hAnsi="Times New Roman" w:cs="Times New Roman"/>
          <w:lang w:val="en-GB"/>
        </w:rPr>
        <w:t>. Crown.</w:t>
      </w:r>
    </w:p>
    <w:p w14:paraId="51200E1C" w14:textId="77777777" w:rsidR="00375B8E" w:rsidRPr="00C75F0D" w:rsidRDefault="00375B8E" w:rsidP="00375B8E">
      <w:pPr>
        <w:rPr>
          <w:rFonts w:ascii="Times New Roman" w:hAnsi="Times New Roman" w:cs="Times New Roman"/>
          <w:lang w:val="en-GB"/>
        </w:rPr>
      </w:pPr>
      <w:r w:rsidRPr="00C75F0D">
        <w:rPr>
          <w:rFonts w:ascii="Times New Roman" w:hAnsi="Times New Roman" w:cs="Times New Roman"/>
          <w:lang w:val="en-GB"/>
        </w:rPr>
        <w:t xml:space="preserve">Alchian, A. A., &amp; Demsetz, H. (1972). Production, information costs, and economic organization. </w:t>
      </w:r>
      <w:r w:rsidRPr="00C75F0D">
        <w:rPr>
          <w:rFonts w:ascii="Times New Roman" w:hAnsi="Times New Roman" w:cs="Times New Roman"/>
          <w:i/>
          <w:iCs/>
          <w:lang w:val="en-GB"/>
        </w:rPr>
        <w:t>American Economic Review, 62</w:t>
      </w:r>
      <w:r w:rsidRPr="00C75F0D">
        <w:rPr>
          <w:rFonts w:ascii="Times New Roman" w:hAnsi="Times New Roman" w:cs="Times New Roman"/>
          <w:lang w:val="en-GB"/>
        </w:rPr>
        <w:t>(5), 777–795.</w:t>
      </w:r>
    </w:p>
    <w:p w14:paraId="55CA175F" w14:textId="77777777" w:rsidR="00375B8E" w:rsidRPr="00C75F0D" w:rsidRDefault="00375B8E" w:rsidP="00375B8E">
      <w:pPr>
        <w:rPr>
          <w:rFonts w:ascii="Times New Roman" w:hAnsi="Times New Roman" w:cs="Times New Roman"/>
          <w:lang w:val="en-GB"/>
        </w:rPr>
      </w:pPr>
      <w:r w:rsidRPr="00C75F0D">
        <w:rPr>
          <w:rFonts w:ascii="Times New Roman" w:hAnsi="Times New Roman" w:cs="Times New Roman"/>
          <w:lang w:val="en-GB"/>
        </w:rPr>
        <w:t xml:space="preserve">Atkinson, A. B. (2015). </w:t>
      </w:r>
      <w:r w:rsidRPr="00C75F0D">
        <w:rPr>
          <w:rFonts w:ascii="Times New Roman" w:hAnsi="Times New Roman" w:cs="Times New Roman"/>
          <w:i/>
          <w:iCs/>
          <w:lang w:val="en-GB"/>
        </w:rPr>
        <w:t>Inequality: What can be done?</w:t>
      </w:r>
      <w:r w:rsidRPr="00C75F0D">
        <w:rPr>
          <w:rFonts w:ascii="Times New Roman" w:hAnsi="Times New Roman" w:cs="Times New Roman"/>
          <w:lang w:val="en-GB"/>
        </w:rPr>
        <w:t xml:space="preserve"> Harvard University Press.</w:t>
      </w:r>
    </w:p>
    <w:p w14:paraId="44EF7120" w14:textId="77777777" w:rsidR="00375B8E" w:rsidRPr="00C75F0D" w:rsidRDefault="00375B8E" w:rsidP="00375B8E">
      <w:pPr>
        <w:rPr>
          <w:rFonts w:ascii="Times New Roman" w:hAnsi="Times New Roman" w:cs="Times New Roman"/>
          <w:lang w:val="en-GB"/>
        </w:rPr>
      </w:pPr>
      <w:r w:rsidRPr="00C75F0D">
        <w:rPr>
          <w:rFonts w:ascii="Times New Roman" w:hAnsi="Times New Roman" w:cs="Times New Roman"/>
          <w:lang w:val="en-GB"/>
        </w:rPr>
        <w:t xml:space="preserve">Berle, A. A., &amp; Means, G. C. (1932). </w:t>
      </w:r>
      <w:r w:rsidRPr="00C75F0D">
        <w:rPr>
          <w:rFonts w:ascii="Times New Roman" w:hAnsi="Times New Roman" w:cs="Times New Roman"/>
          <w:i/>
          <w:iCs/>
          <w:lang w:val="en-GB"/>
        </w:rPr>
        <w:t>The modern corporation and private property</w:t>
      </w:r>
      <w:r w:rsidRPr="00C75F0D">
        <w:rPr>
          <w:rFonts w:ascii="Times New Roman" w:hAnsi="Times New Roman" w:cs="Times New Roman"/>
          <w:lang w:val="en-GB"/>
        </w:rPr>
        <w:t>. Macmillan.</w:t>
      </w:r>
    </w:p>
    <w:p w14:paraId="30D3BBC2" w14:textId="77777777" w:rsidR="00375B8E" w:rsidRPr="00C75F0D" w:rsidRDefault="00375B8E" w:rsidP="00375B8E">
      <w:pPr>
        <w:rPr>
          <w:rFonts w:ascii="Times New Roman" w:hAnsi="Times New Roman" w:cs="Times New Roman"/>
          <w:lang w:val="en-GB"/>
        </w:rPr>
      </w:pPr>
      <w:r w:rsidRPr="00C75F0D">
        <w:rPr>
          <w:rFonts w:ascii="Times New Roman" w:hAnsi="Times New Roman" w:cs="Times New Roman"/>
          <w:lang w:val="en-GB"/>
        </w:rPr>
        <w:t xml:space="preserve">Craig, B., &amp; Pencavel, J. (1992). Worker cooperatives. </w:t>
      </w:r>
      <w:r w:rsidRPr="00C75F0D">
        <w:rPr>
          <w:rFonts w:ascii="Times New Roman" w:hAnsi="Times New Roman" w:cs="Times New Roman"/>
          <w:i/>
          <w:iCs/>
          <w:lang w:val="en-GB"/>
        </w:rPr>
        <w:t>American Economic Review, 82</w:t>
      </w:r>
      <w:r w:rsidRPr="00C75F0D">
        <w:rPr>
          <w:rFonts w:ascii="Times New Roman" w:hAnsi="Times New Roman" w:cs="Times New Roman"/>
          <w:lang w:val="en-GB"/>
        </w:rPr>
        <w:t xml:space="preserve">(5), 1083–1105. </w:t>
      </w:r>
    </w:p>
    <w:p w14:paraId="45D6C0DE" w14:textId="77777777" w:rsidR="00375B8E" w:rsidRPr="00C75F0D" w:rsidRDefault="00375B8E" w:rsidP="00375B8E">
      <w:pPr>
        <w:rPr>
          <w:rFonts w:ascii="Times New Roman" w:hAnsi="Times New Roman" w:cs="Times New Roman"/>
          <w:lang w:val="en-GB"/>
        </w:rPr>
      </w:pPr>
      <w:r w:rsidRPr="00C75F0D">
        <w:rPr>
          <w:rFonts w:ascii="Times New Roman" w:hAnsi="Times New Roman" w:cs="Times New Roman"/>
          <w:lang w:val="en-GB"/>
        </w:rPr>
        <w:t xml:space="preserve">Dahl, R. A. (1985). </w:t>
      </w:r>
      <w:r w:rsidRPr="00C75F0D">
        <w:rPr>
          <w:rFonts w:ascii="Times New Roman" w:hAnsi="Times New Roman" w:cs="Times New Roman"/>
          <w:i/>
          <w:iCs/>
          <w:lang w:val="en-GB"/>
        </w:rPr>
        <w:t>A preface to economic democracy</w:t>
      </w:r>
      <w:r w:rsidRPr="00C75F0D">
        <w:rPr>
          <w:rFonts w:ascii="Times New Roman" w:hAnsi="Times New Roman" w:cs="Times New Roman"/>
          <w:lang w:val="en-GB"/>
        </w:rPr>
        <w:t>. University of California Press.</w:t>
      </w:r>
    </w:p>
    <w:p w14:paraId="5AB1D1C0" w14:textId="77777777" w:rsidR="00375B8E" w:rsidRPr="00C75F0D" w:rsidRDefault="00375B8E" w:rsidP="00375B8E">
      <w:pPr>
        <w:rPr>
          <w:rFonts w:ascii="Times New Roman" w:hAnsi="Times New Roman" w:cs="Times New Roman"/>
          <w:lang w:val="en-GB"/>
        </w:rPr>
      </w:pPr>
      <w:r w:rsidRPr="00C75F0D">
        <w:rPr>
          <w:rFonts w:ascii="Times New Roman" w:hAnsi="Times New Roman" w:cs="Times New Roman"/>
          <w:lang w:val="en-GB"/>
        </w:rPr>
        <w:t xml:space="preserve">Doucouliagos, C. (1995). Worker participation and productivity in labor-managed and participatory capitalist firms: A meta-analysis. </w:t>
      </w:r>
      <w:r w:rsidRPr="00C75F0D">
        <w:rPr>
          <w:rFonts w:ascii="Times New Roman" w:hAnsi="Times New Roman" w:cs="Times New Roman"/>
          <w:i/>
          <w:iCs/>
          <w:lang w:val="en-GB"/>
        </w:rPr>
        <w:t>Industrial &amp; Labor Relations Review, 49</w:t>
      </w:r>
      <w:r w:rsidRPr="00C75F0D">
        <w:rPr>
          <w:rFonts w:ascii="Times New Roman" w:hAnsi="Times New Roman" w:cs="Times New Roman"/>
          <w:lang w:val="en-GB"/>
        </w:rPr>
        <w:t xml:space="preserve">(1), 58–77. </w:t>
      </w:r>
      <w:hyperlink r:id="rId8" w:tgtFrame="_new" w:history="1">
        <w:r w:rsidRPr="00C75F0D">
          <w:rPr>
            <w:rStyle w:val="Hypertextovprepojenie"/>
            <w:rFonts w:ascii="Times New Roman" w:hAnsi="Times New Roman" w:cs="Times New Roman"/>
            <w:lang w:val="en-GB"/>
          </w:rPr>
          <w:t>https://doi.org/10.1177/001979399504900104</w:t>
        </w:r>
      </w:hyperlink>
      <w:r w:rsidRPr="00C75F0D">
        <w:rPr>
          <w:rFonts w:ascii="Times New Roman" w:hAnsi="Times New Roman" w:cs="Times New Roman"/>
          <w:lang w:val="en-GB"/>
        </w:rPr>
        <w:t xml:space="preserve"> </w:t>
      </w:r>
    </w:p>
    <w:p w14:paraId="72C88911" w14:textId="77777777" w:rsidR="00375B8E" w:rsidRPr="00C75F0D" w:rsidRDefault="00375B8E" w:rsidP="00375B8E">
      <w:pPr>
        <w:rPr>
          <w:rFonts w:ascii="Times New Roman" w:hAnsi="Times New Roman" w:cs="Times New Roman"/>
          <w:lang w:val="en-GB"/>
        </w:rPr>
      </w:pPr>
      <w:r w:rsidRPr="00C75F0D">
        <w:rPr>
          <w:rFonts w:ascii="Times New Roman" w:hAnsi="Times New Roman" w:cs="Times New Roman"/>
          <w:lang w:val="en-GB"/>
        </w:rPr>
        <w:t xml:space="preserve">Dow, G. K. (2003). </w:t>
      </w:r>
      <w:r w:rsidRPr="00C75F0D">
        <w:rPr>
          <w:rFonts w:ascii="Times New Roman" w:hAnsi="Times New Roman" w:cs="Times New Roman"/>
          <w:i/>
          <w:iCs/>
          <w:lang w:val="en-GB"/>
        </w:rPr>
        <w:t>Governing the firm: Workers’ control in theory and practice</w:t>
      </w:r>
      <w:r w:rsidRPr="00C75F0D">
        <w:rPr>
          <w:rFonts w:ascii="Times New Roman" w:hAnsi="Times New Roman" w:cs="Times New Roman"/>
          <w:lang w:val="en-GB"/>
        </w:rPr>
        <w:t>. Cambridge University Press.</w:t>
      </w:r>
    </w:p>
    <w:p w14:paraId="123F349C" w14:textId="77777777" w:rsidR="00375B8E" w:rsidRPr="00C75F0D" w:rsidRDefault="00375B8E" w:rsidP="00375B8E">
      <w:pPr>
        <w:rPr>
          <w:rFonts w:ascii="Times New Roman" w:hAnsi="Times New Roman" w:cs="Times New Roman"/>
          <w:lang w:val="en-GB"/>
        </w:rPr>
      </w:pPr>
      <w:r w:rsidRPr="00C75F0D">
        <w:rPr>
          <w:rFonts w:ascii="Times New Roman" w:hAnsi="Times New Roman" w:cs="Times New Roman"/>
          <w:lang w:val="en-GB"/>
        </w:rPr>
        <w:t xml:space="preserve">Ellerman, D. (1990). </w:t>
      </w:r>
      <w:r w:rsidRPr="00C75F0D">
        <w:rPr>
          <w:rFonts w:ascii="Times New Roman" w:hAnsi="Times New Roman" w:cs="Times New Roman"/>
          <w:i/>
          <w:iCs/>
          <w:lang w:val="en-GB"/>
        </w:rPr>
        <w:t>The democratic worker-owned firm</w:t>
      </w:r>
      <w:r w:rsidRPr="00C75F0D">
        <w:rPr>
          <w:rFonts w:ascii="Times New Roman" w:hAnsi="Times New Roman" w:cs="Times New Roman"/>
          <w:lang w:val="en-GB"/>
        </w:rPr>
        <w:t>. Unwin Hyman.</w:t>
      </w:r>
    </w:p>
    <w:p w14:paraId="1DD1F9A6" w14:textId="77777777" w:rsidR="00375B8E" w:rsidRPr="00C75F0D" w:rsidRDefault="00375B8E" w:rsidP="00375B8E">
      <w:pPr>
        <w:rPr>
          <w:rFonts w:ascii="Times New Roman" w:hAnsi="Times New Roman" w:cs="Times New Roman"/>
          <w:lang w:val="en-GB"/>
        </w:rPr>
      </w:pPr>
      <w:r w:rsidRPr="00C75F0D">
        <w:rPr>
          <w:rFonts w:ascii="Times New Roman" w:hAnsi="Times New Roman" w:cs="Times New Roman"/>
          <w:lang w:val="en-GB"/>
        </w:rPr>
        <w:t xml:space="preserve">Estrin, S. (1983). </w:t>
      </w:r>
      <w:r w:rsidRPr="00C75F0D">
        <w:rPr>
          <w:rFonts w:ascii="Times New Roman" w:hAnsi="Times New Roman" w:cs="Times New Roman"/>
          <w:i/>
          <w:iCs/>
          <w:lang w:val="en-GB"/>
        </w:rPr>
        <w:t>Self-management: Economic theory and Yugoslav practice</w:t>
      </w:r>
      <w:r w:rsidRPr="00C75F0D">
        <w:rPr>
          <w:rFonts w:ascii="Times New Roman" w:hAnsi="Times New Roman" w:cs="Times New Roman"/>
          <w:lang w:val="en-GB"/>
        </w:rPr>
        <w:t xml:space="preserve">. Cambridge University Press. </w:t>
      </w:r>
    </w:p>
    <w:p w14:paraId="1B6318E4" w14:textId="77777777" w:rsidR="00375B8E" w:rsidRPr="00C75F0D" w:rsidRDefault="00375B8E" w:rsidP="00375B8E">
      <w:pPr>
        <w:rPr>
          <w:rFonts w:ascii="Times New Roman" w:hAnsi="Times New Roman" w:cs="Times New Roman"/>
          <w:lang w:val="en-GB"/>
        </w:rPr>
      </w:pPr>
      <w:r w:rsidRPr="00C75F0D">
        <w:rPr>
          <w:rFonts w:ascii="Times New Roman" w:hAnsi="Times New Roman" w:cs="Times New Roman"/>
          <w:lang w:val="en-GB"/>
        </w:rPr>
        <w:t xml:space="preserve">Gilens, M., &amp; Page, B. I. (2014). Testing theories of American politics: Elites, interest groups, and average citizens. </w:t>
      </w:r>
      <w:r w:rsidRPr="00C75F0D">
        <w:rPr>
          <w:rFonts w:ascii="Times New Roman" w:hAnsi="Times New Roman" w:cs="Times New Roman"/>
          <w:i/>
          <w:iCs/>
          <w:lang w:val="en-GB"/>
        </w:rPr>
        <w:t>Perspectives on Politics, 12</w:t>
      </w:r>
      <w:r w:rsidRPr="00C75F0D">
        <w:rPr>
          <w:rFonts w:ascii="Times New Roman" w:hAnsi="Times New Roman" w:cs="Times New Roman"/>
          <w:lang w:val="en-GB"/>
        </w:rPr>
        <w:t xml:space="preserve">(3), 564–581. </w:t>
      </w:r>
      <w:hyperlink r:id="rId9" w:tgtFrame="_new" w:history="1">
        <w:r w:rsidRPr="00C75F0D">
          <w:rPr>
            <w:rStyle w:val="Hypertextovprepojenie"/>
            <w:rFonts w:ascii="Times New Roman" w:hAnsi="Times New Roman" w:cs="Times New Roman"/>
            <w:lang w:val="en-GB"/>
          </w:rPr>
          <w:t>https://doi.org/10.1017/S1537592714001595</w:t>
        </w:r>
      </w:hyperlink>
      <w:r w:rsidRPr="00C75F0D">
        <w:rPr>
          <w:rFonts w:ascii="Times New Roman" w:hAnsi="Times New Roman" w:cs="Times New Roman"/>
          <w:lang w:val="en-GB"/>
        </w:rPr>
        <w:t xml:space="preserve"> </w:t>
      </w:r>
    </w:p>
    <w:p w14:paraId="43BEB686" w14:textId="77777777" w:rsidR="00375B8E" w:rsidRPr="00C75F0D" w:rsidRDefault="00375B8E" w:rsidP="00375B8E">
      <w:pPr>
        <w:rPr>
          <w:rFonts w:ascii="Times New Roman" w:hAnsi="Times New Roman" w:cs="Times New Roman"/>
          <w:lang w:val="en-GB"/>
        </w:rPr>
      </w:pPr>
      <w:r w:rsidRPr="00C75F0D">
        <w:rPr>
          <w:rFonts w:ascii="Times New Roman" w:hAnsi="Times New Roman" w:cs="Times New Roman"/>
          <w:lang w:val="en-GB"/>
        </w:rPr>
        <w:t xml:space="preserve">Hayek, F. A. (1945). The use of knowledge in society. </w:t>
      </w:r>
      <w:r w:rsidRPr="00C75F0D">
        <w:rPr>
          <w:rFonts w:ascii="Times New Roman" w:hAnsi="Times New Roman" w:cs="Times New Roman"/>
          <w:i/>
          <w:iCs/>
          <w:lang w:val="en-GB"/>
        </w:rPr>
        <w:t>American Economic Review, 35</w:t>
      </w:r>
      <w:r w:rsidRPr="00C75F0D">
        <w:rPr>
          <w:rFonts w:ascii="Times New Roman" w:hAnsi="Times New Roman" w:cs="Times New Roman"/>
          <w:lang w:val="en-GB"/>
        </w:rPr>
        <w:t>(4), 519–530.</w:t>
      </w:r>
    </w:p>
    <w:p w14:paraId="066D0867" w14:textId="58AECB9D" w:rsidR="00375B8E" w:rsidRPr="00C75F0D" w:rsidRDefault="00375B8E" w:rsidP="00375B8E">
      <w:pPr>
        <w:rPr>
          <w:rFonts w:ascii="Times New Roman" w:hAnsi="Times New Roman" w:cs="Times New Roman"/>
          <w:lang w:val="en-GB"/>
        </w:rPr>
      </w:pPr>
      <w:r w:rsidRPr="00C75F0D">
        <w:rPr>
          <w:rFonts w:ascii="Times New Roman" w:hAnsi="Times New Roman" w:cs="Times New Roman"/>
          <w:lang w:val="en-GB"/>
        </w:rPr>
        <w:t xml:space="preserve">Jurčišin, S. (2025). Beyond capitalism: Cooperativism as a systemic alternative towards economic democracy. </w:t>
      </w:r>
      <w:r w:rsidRPr="00C75F0D">
        <w:rPr>
          <w:rFonts w:ascii="Times New Roman" w:hAnsi="Times New Roman" w:cs="Times New Roman"/>
          <w:i/>
          <w:iCs/>
          <w:lang w:val="en-GB"/>
        </w:rPr>
        <w:t>International Review of Applied Economics</w:t>
      </w:r>
      <w:r w:rsidRPr="00C75F0D">
        <w:rPr>
          <w:rFonts w:ascii="Times New Roman" w:hAnsi="Times New Roman" w:cs="Times New Roman"/>
          <w:lang w:val="en-GB"/>
        </w:rPr>
        <w:t xml:space="preserve">. </w:t>
      </w:r>
      <w:hyperlink r:id="rId10" w:history="1">
        <w:r w:rsidR="00A42970" w:rsidRPr="00C75F0D">
          <w:rPr>
            <w:rStyle w:val="Hypertextovprepojenie"/>
            <w:rFonts w:ascii="Times New Roman" w:hAnsi="Times New Roman" w:cs="Times New Roman"/>
            <w:lang w:val="en-GB"/>
          </w:rPr>
          <w:t>https://doi.org/10.1080/02692171.2025.2602519</w:t>
        </w:r>
      </w:hyperlink>
      <w:r w:rsidR="00A42970" w:rsidRPr="00C75F0D">
        <w:rPr>
          <w:rFonts w:ascii="Times New Roman" w:hAnsi="Times New Roman" w:cs="Times New Roman"/>
          <w:lang w:val="en-GB"/>
        </w:rPr>
        <w:t xml:space="preserve"> </w:t>
      </w:r>
    </w:p>
    <w:p w14:paraId="1FE8031A" w14:textId="4F14F62C" w:rsidR="00375B8E" w:rsidRPr="00C75F0D" w:rsidRDefault="00375B8E" w:rsidP="00375B8E">
      <w:pPr>
        <w:rPr>
          <w:rFonts w:ascii="Times New Roman" w:hAnsi="Times New Roman" w:cs="Times New Roman"/>
          <w:lang w:val="en-GB"/>
        </w:rPr>
      </w:pPr>
      <w:r w:rsidRPr="00C75F0D">
        <w:rPr>
          <w:rFonts w:ascii="Times New Roman" w:hAnsi="Times New Roman" w:cs="Times New Roman"/>
          <w:lang w:val="en-GB"/>
        </w:rPr>
        <w:t xml:space="preserve">Jurčišin, S. (2026a). Macroeconomic democracy: A systemic framework for democratic economic organization. </w:t>
      </w:r>
      <w:r w:rsidRPr="00C75F0D">
        <w:rPr>
          <w:rFonts w:ascii="Times New Roman" w:hAnsi="Times New Roman" w:cs="Times New Roman"/>
          <w:i/>
          <w:iCs/>
          <w:lang w:val="en-GB"/>
        </w:rPr>
        <w:t>International Review of Applied Economics, 40</w:t>
      </w:r>
      <w:r w:rsidRPr="00C75F0D">
        <w:rPr>
          <w:rFonts w:ascii="Times New Roman" w:hAnsi="Times New Roman" w:cs="Times New Roman"/>
          <w:lang w:val="en-GB"/>
        </w:rPr>
        <w:t xml:space="preserve">(3–4), 671–694. </w:t>
      </w:r>
      <w:hyperlink r:id="rId11" w:history="1">
        <w:r w:rsidR="00A42970" w:rsidRPr="00C75F0D">
          <w:rPr>
            <w:rStyle w:val="Hypertextovprepojenie"/>
            <w:rFonts w:ascii="Times New Roman" w:hAnsi="Times New Roman" w:cs="Times New Roman"/>
            <w:lang w:val="en-GB"/>
          </w:rPr>
          <w:t>https://doi.org/10.1080/02692171.2026.2629831</w:t>
        </w:r>
      </w:hyperlink>
      <w:r w:rsidR="00A42970" w:rsidRPr="00C75F0D">
        <w:rPr>
          <w:rFonts w:ascii="Times New Roman" w:hAnsi="Times New Roman" w:cs="Times New Roman"/>
          <w:lang w:val="en-GB"/>
        </w:rPr>
        <w:t xml:space="preserve"> </w:t>
      </w:r>
    </w:p>
    <w:p w14:paraId="22CBD251" w14:textId="3DC6B955" w:rsidR="00375B8E" w:rsidRPr="00C75F0D" w:rsidRDefault="00375B8E" w:rsidP="00375B8E">
      <w:pPr>
        <w:rPr>
          <w:rFonts w:ascii="Times New Roman" w:hAnsi="Times New Roman" w:cs="Times New Roman"/>
          <w:lang w:val="en-GB"/>
        </w:rPr>
      </w:pPr>
      <w:r w:rsidRPr="00C75F0D">
        <w:rPr>
          <w:rFonts w:ascii="Times New Roman" w:hAnsi="Times New Roman" w:cs="Times New Roman"/>
          <w:lang w:val="en-GB"/>
        </w:rPr>
        <w:t xml:space="preserve">Jurčišin, S. (2026b). Macroeconomic democracy and productivity growth: A historical perspective. </w:t>
      </w:r>
      <w:r w:rsidRPr="00C75F0D">
        <w:rPr>
          <w:rFonts w:ascii="Times New Roman" w:hAnsi="Times New Roman" w:cs="Times New Roman"/>
          <w:i/>
          <w:iCs/>
          <w:lang w:val="en-GB"/>
        </w:rPr>
        <w:t>International Review of Applied Economics, 40</w:t>
      </w:r>
      <w:r w:rsidRPr="00C75F0D">
        <w:rPr>
          <w:rFonts w:ascii="Times New Roman" w:hAnsi="Times New Roman" w:cs="Times New Roman"/>
          <w:lang w:val="en-GB"/>
        </w:rPr>
        <w:t xml:space="preserve">(3–4), 424–447. </w:t>
      </w:r>
      <w:hyperlink r:id="rId12" w:history="1">
        <w:r w:rsidRPr="00C75F0D">
          <w:rPr>
            <w:rStyle w:val="Hypertextovprepojenie"/>
            <w:rFonts w:ascii="Times New Roman" w:hAnsi="Times New Roman" w:cs="Times New Roman"/>
            <w:lang w:val="en-GB"/>
          </w:rPr>
          <w:t>https://doi.org/10.1080/02692171.2026.2651854</w:t>
        </w:r>
      </w:hyperlink>
    </w:p>
    <w:p w14:paraId="156B3CA2" w14:textId="734F1EEC" w:rsidR="00375B8E" w:rsidRDefault="00375B8E" w:rsidP="00375B8E">
      <w:pPr>
        <w:rPr>
          <w:rFonts w:ascii="Times New Roman" w:hAnsi="Times New Roman" w:cs="Times New Roman"/>
          <w:lang w:val="en-GB"/>
        </w:rPr>
      </w:pPr>
      <w:r w:rsidRPr="00C75F0D">
        <w:rPr>
          <w:rFonts w:ascii="Times New Roman" w:hAnsi="Times New Roman" w:cs="Times New Roman"/>
          <w:lang w:val="en-GB"/>
        </w:rPr>
        <w:t xml:space="preserve">Jurčišin, S. (2026c). A framework for testing the macroeconomic architecture of cooperativism. </w:t>
      </w:r>
      <w:r w:rsidRPr="00C75F0D">
        <w:rPr>
          <w:rFonts w:ascii="Times New Roman" w:hAnsi="Times New Roman" w:cs="Times New Roman"/>
          <w:i/>
          <w:iCs/>
          <w:lang w:val="en-GB"/>
        </w:rPr>
        <w:t>International Review of Applied Economics</w:t>
      </w:r>
      <w:r w:rsidRPr="00C75F0D">
        <w:rPr>
          <w:rFonts w:ascii="Times New Roman" w:hAnsi="Times New Roman" w:cs="Times New Roman"/>
          <w:lang w:val="en-GB"/>
        </w:rPr>
        <w:t>. In press.</w:t>
      </w:r>
    </w:p>
    <w:p w14:paraId="603BC7E9" w14:textId="7C480E07" w:rsidR="00961EE2" w:rsidRPr="00961EE2" w:rsidRDefault="00961EE2" w:rsidP="00375B8E">
      <w:pPr>
        <w:rPr>
          <w:rFonts w:ascii="Times New Roman" w:hAnsi="Times New Roman" w:cs="Times New Roman"/>
          <w:lang w:val="en-GB"/>
        </w:rPr>
      </w:pPr>
      <w:r w:rsidRPr="00961EE2">
        <w:rPr>
          <w:rFonts w:ascii="Times New Roman" w:hAnsi="Times New Roman" w:cs="Times New Roman"/>
        </w:rPr>
        <w:lastRenderedPageBreak/>
        <w:t>Jurčišin, S. (2026</w:t>
      </w:r>
      <w:r>
        <w:rPr>
          <w:rFonts w:ascii="Times New Roman" w:hAnsi="Times New Roman" w:cs="Times New Roman"/>
        </w:rPr>
        <w:t>d</w:t>
      </w:r>
      <w:r w:rsidRPr="00961EE2">
        <w:rPr>
          <w:rFonts w:ascii="Times New Roman" w:hAnsi="Times New Roman" w:cs="Times New Roman"/>
        </w:rPr>
        <w:t>). From independence to interdependence, from redistribution to institutional transformation: Comparing Piketty’s solution and Cooperativism to the r &gt; g problem</w:t>
      </w:r>
      <w:r>
        <w:rPr>
          <w:rFonts w:ascii="Times New Roman" w:hAnsi="Times New Roman" w:cs="Times New Roman"/>
        </w:rPr>
        <w:t xml:space="preserve">. </w:t>
      </w:r>
      <w:r w:rsidRPr="00C75F0D">
        <w:rPr>
          <w:rFonts w:ascii="Times New Roman" w:hAnsi="Times New Roman" w:cs="Times New Roman"/>
          <w:i/>
          <w:iCs/>
          <w:lang w:val="en-GB"/>
        </w:rPr>
        <w:t>International Review of Applied Economics</w:t>
      </w:r>
      <w:r w:rsidRPr="00C75F0D">
        <w:rPr>
          <w:rFonts w:ascii="Times New Roman" w:hAnsi="Times New Roman" w:cs="Times New Roman"/>
          <w:lang w:val="en-GB"/>
        </w:rPr>
        <w:t xml:space="preserve">. </w:t>
      </w:r>
      <w:r>
        <w:rPr>
          <w:rFonts w:ascii="Times New Roman" w:hAnsi="Times New Roman" w:cs="Times New Roman"/>
          <w:lang w:val="en-GB"/>
        </w:rPr>
        <w:t>Revise and resubmit</w:t>
      </w:r>
      <w:r w:rsidRPr="00C75F0D">
        <w:rPr>
          <w:rFonts w:ascii="Times New Roman" w:hAnsi="Times New Roman" w:cs="Times New Roman"/>
          <w:lang w:val="en-GB"/>
        </w:rPr>
        <w:t>.</w:t>
      </w:r>
    </w:p>
    <w:p w14:paraId="0050270D" w14:textId="77777777" w:rsidR="00375B8E" w:rsidRPr="00C75F0D" w:rsidRDefault="00375B8E" w:rsidP="00375B8E">
      <w:pPr>
        <w:rPr>
          <w:rFonts w:ascii="Times New Roman" w:hAnsi="Times New Roman" w:cs="Times New Roman"/>
          <w:lang w:val="en-GB"/>
        </w:rPr>
      </w:pPr>
      <w:r w:rsidRPr="00C75F0D">
        <w:rPr>
          <w:rFonts w:ascii="Times New Roman" w:hAnsi="Times New Roman" w:cs="Times New Roman"/>
          <w:lang w:val="en-GB"/>
        </w:rPr>
        <w:t xml:space="preserve">Kornai, J. (1992). </w:t>
      </w:r>
      <w:r w:rsidRPr="00C75F0D">
        <w:rPr>
          <w:rFonts w:ascii="Times New Roman" w:hAnsi="Times New Roman" w:cs="Times New Roman"/>
          <w:i/>
          <w:iCs/>
          <w:lang w:val="en-GB"/>
        </w:rPr>
        <w:t>The socialist system: The political economy of communism</w:t>
      </w:r>
      <w:r w:rsidRPr="00C75F0D">
        <w:rPr>
          <w:rFonts w:ascii="Times New Roman" w:hAnsi="Times New Roman" w:cs="Times New Roman"/>
          <w:lang w:val="en-GB"/>
        </w:rPr>
        <w:t xml:space="preserve">. Princeton University Press. </w:t>
      </w:r>
    </w:p>
    <w:p w14:paraId="1DF6C4FD" w14:textId="77777777" w:rsidR="00375B8E" w:rsidRPr="00C75F0D" w:rsidRDefault="00375B8E" w:rsidP="00375B8E">
      <w:pPr>
        <w:rPr>
          <w:rFonts w:ascii="Times New Roman" w:hAnsi="Times New Roman" w:cs="Times New Roman"/>
          <w:lang w:val="en-GB"/>
        </w:rPr>
      </w:pPr>
      <w:r w:rsidRPr="00C75F0D">
        <w:rPr>
          <w:rFonts w:ascii="Times New Roman" w:hAnsi="Times New Roman" w:cs="Times New Roman"/>
          <w:lang w:val="en-GB"/>
        </w:rPr>
        <w:t xml:space="preserve">Kruse, D. L., Freeman, R. B., &amp; Blasi, J. R. (Eds.). (2010). </w:t>
      </w:r>
      <w:r w:rsidRPr="00C75F0D">
        <w:rPr>
          <w:rFonts w:ascii="Times New Roman" w:hAnsi="Times New Roman" w:cs="Times New Roman"/>
          <w:i/>
          <w:iCs/>
          <w:lang w:val="en-GB"/>
        </w:rPr>
        <w:t>Shared capitalism at work: Employee ownership, profit and gain sharing, and broad-based stock options</w:t>
      </w:r>
      <w:r w:rsidRPr="00C75F0D">
        <w:rPr>
          <w:rFonts w:ascii="Times New Roman" w:hAnsi="Times New Roman" w:cs="Times New Roman"/>
          <w:lang w:val="en-GB"/>
        </w:rPr>
        <w:t xml:space="preserve">. University of Chicago Press. </w:t>
      </w:r>
    </w:p>
    <w:p w14:paraId="1EEFD848" w14:textId="77777777" w:rsidR="00375B8E" w:rsidRPr="00C75F0D" w:rsidRDefault="00375B8E" w:rsidP="00375B8E">
      <w:pPr>
        <w:rPr>
          <w:rFonts w:ascii="Times New Roman" w:hAnsi="Times New Roman" w:cs="Times New Roman"/>
          <w:lang w:val="en-GB"/>
        </w:rPr>
      </w:pPr>
      <w:r w:rsidRPr="00C75F0D">
        <w:rPr>
          <w:rFonts w:ascii="Times New Roman" w:hAnsi="Times New Roman" w:cs="Times New Roman"/>
          <w:lang w:val="en-GB"/>
        </w:rPr>
        <w:t xml:space="preserve">Maddison, A. (2001). </w:t>
      </w:r>
      <w:r w:rsidRPr="00C75F0D">
        <w:rPr>
          <w:rFonts w:ascii="Times New Roman" w:hAnsi="Times New Roman" w:cs="Times New Roman"/>
          <w:i/>
          <w:iCs/>
          <w:lang w:val="en-GB"/>
        </w:rPr>
        <w:t>The world economy: A millennial perspective</w:t>
      </w:r>
      <w:r w:rsidRPr="00C75F0D">
        <w:rPr>
          <w:rFonts w:ascii="Times New Roman" w:hAnsi="Times New Roman" w:cs="Times New Roman"/>
          <w:lang w:val="en-GB"/>
        </w:rPr>
        <w:t xml:space="preserve">. OECD Publishing. </w:t>
      </w:r>
    </w:p>
    <w:p w14:paraId="7249171F" w14:textId="77777777" w:rsidR="00375B8E" w:rsidRPr="00C75F0D" w:rsidRDefault="00375B8E" w:rsidP="00375B8E">
      <w:pPr>
        <w:rPr>
          <w:rFonts w:ascii="Times New Roman" w:hAnsi="Times New Roman" w:cs="Times New Roman"/>
          <w:lang w:val="en-GB"/>
        </w:rPr>
      </w:pPr>
      <w:r w:rsidRPr="00C75F0D">
        <w:rPr>
          <w:rFonts w:ascii="Times New Roman" w:hAnsi="Times New Roman" w:cs="Times New Roman"/>
          <w:lang w:val="en-GB"/>
        </w:rPr>
        <w:t xml:space="preserve">Nove, A. (1983). </w:t>
      </w:r>
      <w:r w:rsidRPr="00C75F0D">
        <w:rPr>
          <w:rFonts w:ascii="Times New Roman" w:hAnsi="Times New Roman" w:cs="Times New Roman"/>
          <w:i/>
          <w:iCs/>
          <w:lang w:val="en-GB"/>
        </w:rPr>
        <w:t>The economics of feasible socialism</w:t>
      </w:r>
      <w:r w:rsidRPr="00C75F0D">
        <w:rPr>
          <w:rFonts w:ascii="Times New Roman" w:hAnsi="Times New Roman" w:cs="Times New Roman"/>
          <w:lang w:val="en-GB"/>
        </w:rPr>
        <w:t xml:space="preserve">. Allen &amp; Unwin. </w:t>
      </w:r>
    </w:p>
    <w:p w14:paraId="7908FFB6" w14:textId="77777777" w:rsidR="00375B8E" w:rsidRPr="00C75F0D" w:rsidRDefault="00375B8E" w:rsidP="00375B8E">
      <w:pPr>
        <w:rPr>
          <w:rFonts w:ascii="Times New Roman" w:hAnsi="Times New Roman" w:cs="Times New Roman"/>
          <w:lang w:val="en-GB"/>
        </w:rPr>
      </w:pPr>
      <w:r w:rsidRPr="00C75F0D">
        <w:rPr>
          <w:rFonts w:ascii="Times New Roman" w:hAnsi="Times New Roman" w:cs="Times New Roman"/>
          <w:lang w:val="en-GB"/>
        </w:rPr>
        <w:t xml:space="preserve">Pencavel, J., Pistaferri, L., &amp; Schivardi, F. (2013). Worker-owned firms. </w:t>
      </w:r>
      <w:r w:rsidRPr="00C75F0D">
        <w:rPr>
          <w:rFonts w:ascii="Times New Roman" w:hAnsi="Times New Roman" w:cs="Times New Roman"/>
          <w:i/>
          <w:iCs/>
          <w:lang w:val="en-GB"/>
        </w:rPr>
        <w:t>Industrial &amp; Labor Relations Review, 66</w:t>
      </w:r>
      <w:r w:rsidRPr="00C75F0D">
        <w:rPr>
          <w:rFonts w:ascii="Times New Roman" w:hAnsi="Times New Roman" w:cs="Times New Roman"/>
          <w:lang w:val="en-GB"/>
        </w:rPr>
        <w:t xml:space="preserve">(2), 323–356. </w:t>
      </w:r>
    </w:p>
    <w:p w14:paraId="6946E845" w14:textId="77777777" w:rsidR="00375B8E" w:rsidRPr="00C75F0D" w:rsidRDefault="00375B8E" w:rsidP="00375B8E">
      <w:pPr>
        <w:rPr>
          <w:rFonts w:ascii="Times New Roman" w:hAnsi="Times New Roman" w:cs="Times New Roman"/>
          <w:lang w:val="en-GB"/>
        </w:rPr>
      </w:pPr>
      <w:r w:rsidRPr="00C75F0D">
        <w:rPr>
          <w:rFonts w:ascii="Times New Roman" w:hAnsi="Times New Roman" w:cs="Times New Roman"/>
          <w:lang w:val="en-GB"/>
        </w:rPr>
        <w:t xml:space="preserve">Pérotin, V. (2016). </w:t>
      </w:r>
      <w:r w:rsidRPr="00C75F0D">
        <w:rPr>
          <w:rFonts w:ascii="Times New Roman" w:hAnsi="Times New Roman" w:cs="Times New Roman"/>
          <w:i/>
          <w:iCs/>
          <w:lang w:val="en-GB"/>
        </w:rPr>
        <w:t>What do we really know about worker co-operatives?</w:t>
      </w:r>
      <w:r w:rsidRPr="00C75F0D">
        <w:rPr>
          <w:rFonts w:ascii="Times New Roman" w:hAnsi="Times New Roman" w:cs="Times New Roman"/>
          <w:lang w:val="en-GB"/>
        </w:rPr>
        <w:t xml:space="preserve"> International Labour Organization. </w:t>
      </w:r>
    </w:p>
    <w:p w14:paraId="60498258" w14:textId="77777777" w:rsidR="00375B8E" w:rsidRPr="00C75F0D" w:rsidRDefault="00375B8E" w:rsidP="00375B8E">
      <w:pPr>
        <w:rPr>
          <w:rFonts w:ascii="Times New Roman" w:hAnsi="Times New Roman" w:cs="Times New Roman"/>
          <w:lang w:val="en-GB"/>
        </w:rPr>
      </w:pPr>
      <w:r w:rsidRPr="00C75F0D">
        <w:rPr>
          <w:rFonts w:ascii="Times New Roman" w:hAnsi="Times New Roman" w:cs="Times New Roman"/>
          <w:lang w:val="en-GB"/>
        </w:rPr>
        <w:t xml:space="preserve">Piketty, T. (2014). </w:t>
      </w:r>
      <w:r w:rsidRPr="00C75F0D">
        <w:rPr>
          <w:rFonts w:ascii="Times New Roman" w:hAnsi="Times New Roman" w:cs="Times New Roman"/>
          <w:i/>
          <w:iCs/>
          <w:lang w:val="en-GB"/>
        </w:rPr>
        <w:t>Capital in the twenty-first century</w:t>
      </w:r>
      <w:r w:rsidRPr="00C75F0D">
        <w:rPr>
          <w:rFonts w:ascii="Times New Roman" w:hAnsi="Times New Roman" w:cs="Times New Roman"/>
          <w:lang w:val="en-GB"/>
        </w:rPr>
        <w:t xml:space="preserve"> (A. Goldhammer, Trans.). Harvard University Press.</w:t>
      </w:r>
    </w:p>
    <w:p w14:paraId="7F1A5DA8" w14:textId="77777777" w:rsidR="00375B8E" w:rsidRPr="00C75F0D" w:rsidRDefault="00375B8E" w:rsidP="00375B8E">
      <w:pPr>
        <w:rPr>
          <w:rFonts w:ascii="Times New Roman" w:hAnsi="Times New Roman" w:cs="Times New Roman"/>
          <w:lang w:val="en-GB"/>
        </w:rPr>
      </w:pPr>
      <w:r w:rsidRPr="00C75F0D">
        <w:rPr>
          <w:rFonts w:ascii="Times New Roman" w:hAnsi="Times New Roman" w:cs="Times New Roman"/>
          <w:lang w:val="en-GB"/>
        </w:rPr>
        <w:t xml:space="preserve">Piketty, T. (2020). </w:t>
      </w:r>
      <w:r w:rsidRPr="00C75F0D">
        <w:rPr>
          <w:rFonts w:ascii="Times New Roman" w:hAnsi="Times New Roman" w:cs="Times New Roman"/>
          <w:i/>
          <w:iCs/>
          <w:lang w:val="en-GB"/>
        </w:rPr>
        <w:t>Capital and ideology</w:t>
      </w:r>
      <w:r w:rsidRPr="00C75F0D">
        <w:rPr>
          <w:rFonts w:ascii="Times New Roman" w:hAnsi="Times New Roman" w:cs="Times New Roman"/>
          <w:lang w:val="en-GB"/>
        </w:rPr>
        <w:t xml:space="preserve"> (A. Goldhammer, Trans.). Harvard University Press.</w:t>
      </w:r>
    </w:p>
    <w:p w14:paraId="3187E141" w14:textId="77777777" w:rsidR="00375B8E" w:rsidRPr="00C75F0D" w:rsidRDefault="00375B8E" w:rsidP="00375B8E">
      <w:pPr>
        <w:rPr>
          <w:rFonts w:ascii="Times New Roman" w:hAnsi="Times New Roman" w:cs="Times New Roman"/>
          <w:lang w:val="en-GB"/>
        </w:rPr>
      </w:pPr>
      <w:r w:rsidRPr="00C75F0D">
        <w:rPr>
          <w:rFonts w:ascii="Times New Roman" w:hAnsi="Times New Roman" w:cs="Times New Roman"/>
          <w:lang w:val="en-GB"/>
        </w:rPr>
        <w:t xml:space="preserve">Stiglitz, J. E. (2012). </w:t>
      </w:r>
      <w:r w:rsidRPr="00C75F0D">
        <w:rPr>
          <w:rFonts w:ascii="Times New Roman" w:hAnsi="Times New Roman" w:cs="Times New Roman"/>
          <w:i/>
          <w:iCs/>
          <w:lang w:val="en-GB"/>
        </w:rPr>
        <w:t>The price of inequality: How today’s divided society endangers our future</w:t>
      </w:r>
      <w:r w:rsidRPr="00C75F0D">
        <w:rPr>
          <w:rFonts w:ascii="Times New Roman" w:hAnsi="Times New Roman" w:cs="Times New Roman"/>
          <w:lang w:val="en-GB"/>
        </w:rPr>
        <w:t>. W. W. Norton &amp; Company.</w:t>
      </w:r>
    </w:p>
    <w:p w14:paraId="44D951C1" w14:textId="77777777" w:rsidR="00375B8E" w:rsidRPr="00C75F0D" w:rsidRDefault="00375B8E" w:rsidP="00375B8E">
      <w:pPr>
        <w:rPr>
          <w:rFonts w:ascii="Times New Roman" w:hAnsi="Times New Roman" w:cs="Times New Roman"/>
          <w:lang w:val="en-GB"/>
        </w:rPr>
      </w:pPr>
      <w:r w:rsidRPr="00C75F0D">
        <w:rPr>
          <w:rFonts w:ascii="Times New Roman" w:hAnsi="Times New Roman" w:cs="Times New Roman"/>
          <w:lang w:val="en-GB"/>
        </w:rPr>
        <w:t xml:space="preserve">Williamson, O. E. (1985). </w:t>
      </w:r>
      <w:r w:rsidRPr="00C75F0D">
        <w:rPr>
          <w:rFonts w:ascii="Times New Roman" w:hAnsi="Times New Roman" w:cs="Times New Roman"/>
          <w:i/>
          <w:iCs/>
          <w:lang w:val="en-GB"/>
        </w:rPr>
        <w:t>The economic institutions of capitalism</w:t>
      </w:r>
      <w:r w:rsidRPr="00C75F0D">
        <w:rPr>
          <w:rFonts w:ascii="Times New Roman" w:hAnsi="Times New Roman" w:cs="Times New Roman"/>
          <w:lang w:val="en-GB"/>
        </w:rPr>
        <w:t xml:space="preserve">. Free Press. </w:t>
      </w:r>
    </w:p>
    <w:p w14:paraId="60223C77" w14:textId="77777777" w:rsidR="00375B8E" w:rsidRPr="00C75F0D" w:rsidRDefault="00375B8E" w:rsidP="00375B8E">
      <w:pPr>
        <w:rPr>
          <w:rFonts w:ascii="Times New Roman" w:hAnsi="Times New Roman" w:cs="Times New Roman"/>
          <w:lang w:val="en-GB"/>
        </w:rPr>
      </w:pPr>
      <w:r w:rsidRPr="00C75F0D">
        <w:rPr>
          <w:rFonts w:ascii="Times New Roman" w:hAnsi="Times New Roman" w:cs="Times New Roman"/>
          <w:lang w:val="en-GB"/>
        </w:rPr>
        <w:t xml:space="preserve">World Inequality Database. (n.d.). </w:t>
      </w:r>
      <w:r w:rsidRPr="00C75F0D">
        <w:rPr>
          <w:rFonts w:ascii="Times New Roman" w:hAnsi="Times New Roman" w:cs="Times New Roman"/>
          <w:i/>
          <w:iCs/>
          <w:lang w:val="en-GB"/>
        </w:rPr>
        <w:t>World Inequality Database</w:t>
      </w:r>
      <w:r w:rsidRPr="00C75F0D">
        <w:rPr>
          <w:rFonts w:ascii="Times New Roman" w:hAnsi="Times New Roman" w:cs="Times New Roman"/>
          <w:lang w:val="en-GB"/>
        </w:rPr>
        <w:t xml:space="preserve">. </w:t>
      </w:r>
      <w:hyperlink r:id="rId13" w:tgtFrame="_new" w:history="1">
        <w:r w:rsidRPr="00C75F0D">
          <w:rPr>
            <w:rStyle w:val="Hypertextovprepojenie"/>
            <w:rFonts w:ascii="Times New Roman" w:hAnsi="Times New Roman" w:cs="Times New Roman"/>
            <w:lang w:val="en-GB"/>
          </w:rPr>
          <w:t>https://wid.world</w:t>
        </w:r>
      </w:hyperlink>
    </w:p>
    <w:p w14:paraId="1C769BE4" w14:textId="77777777" w:rsidR="00375B8E" w:rsidRPr="00C75F0D" w:rsidRDefault="00375B8E" w:rsidP="00375B8E">
      <w:pPr>
        <w:rPr>
          <w:rFonts w:ascii="Times New Roman" w:hAnsi="Times New Roman" w:cs="Times New Roman"/>
          <w:lang w:val="en-GB"/>
        </w:rPr>
      </w:pPr>
      <w:r w:rsidRPr="00C75F0D">
        <w:rPr>
          <w:rFonts w:ascii="Times New Roman" w:hAnsi="Times New Roman" w:cs="Times New Roman"/>
          <w:lang w:val="en-GB"/>
        </w:rPr>
        <w:t xml:space="preserve">Zucman, G. (2015). </w:t>
      </w:r>
      <w:r w:rsidRPr="00C75F0D">
        <w:rPr>
          <w:rFonts w:ascii="Times New Roman" w:hAnsi="Times New Roman" w:cs="Times New Roman"/>
          <w:i/>
          <w:iCs/>
          <w:lang w:val="en-GB"/>
        </w:rPr>
        <w:t>The hidden wealth of nations: The scourge of tax havens</w:t>
      </w:r>
      <w:r w:rsidRPr="00C75F0D">
        <w:rPr>
          <w:rFonts w:ascii="Times New Roman" w:hAnsi="Times New Roman" w:cs="Times New Roman"/>
          <w:lang w:val="en-GB"/>
        </w:rPr>
        <w:t>. University of Chicago Press.</w:t>
      </w:r>
    </w:p>
    <w:p w14:paraId="77BD8CBF" w14:textId="77777777" w:rsidR="00375B8E" w:rsidRPr="00C75F0D" w:rsidRDefault="00375B8E" w:rsidP="00BF7A7B">
      <w:pPr>
        <w:rPr>
          <w:rFonts w:ascii="Times New Roman" w:hAnsi="Times New Roman" w:cs="Times New Roman"/>
          <w:lang w:val="en-GB"/>
        </w:rPr>
      </w:pPr>
    </w:p>
    <w:p w14:paraId="62671666" w14:textId="77777777" w:rsidR="00AA29FC" w:rsidRPr="00C75F0D" w:rsidRDefault="00AA29FC">
      <w:pPr>
        <w:rPr>
          <w:rFonts w:ascii="Times New Roman" w:hAnsi="Times New Roman" w:cs="Times New Roman"/>
          <w:lang w:val="en-GB"/>
        </w:rPr>
      </w:pPr>
    </w:p>
    <w:sectPr w:rsidR="00AA29FC" w:rsidRPr="00C75F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DejaVu Sans">
    <w:altName w:val="Verdana"/>
    <w:charset w:val="EE"/>
    <w:family w:val="swiss"/>
    <w:pitch w:val="variable"/>
    <w:sig w:usb0="E7002EFF" w:usb1="D200FDFF" w:usb2="0A24602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6376EC"/>
    <w:multiLevelType w:val="hybridMultilevel"/>
    <w:tmpl w:val="636A3D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85543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A7B"/>
    <w:rsid w:val="002257A2"/>
    <w:rsid w:val="00245741"/>
    <w:rsid w:val="00375B8E"/>
    <w:rsid w:val="003767BE"/>
    <w:rsid w:val="00595038"/>
    <w:rsid w:val="0062450F"/>
    <w:rsid w:val="00961EE2"/>
    <w:rsid w:val="00A42970"/>
    <w:rsid w:val="00A8600D"/>
    <w:rsid w:val="00AA29FC"/>
    <w:rsid w:val="00AC573C"/>
    <w:rsid w:val="00B973CE"/>
    <w:rsid w:val="00BF7A7B"/>
    <w:rsid w:val="00C731BD"/>
    <w:rsid w:val="00C75F0D"/>
    <w:rsid w:val="00D70460"/>
    <w:rsid w:val="00DA1AD4"/>
    <w:rsid w:val="00DF1034"/>
    <w:rsid w:val="00E913E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4749C"/>
  <w15:chartTrackingRefBased/>
  <w15:docId w15:val="{23A06998-1F6D-465E-ABF1-1651D9F0E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BF7A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BF7A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BF7A7B"/>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BF7A7B"/>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BF7A7B"/>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BF7A7B"/>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BF7A7B"/>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BF7A7B"/>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BF7A7B"/>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F7A7B"/>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BF7A7B"/>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BF7A7B"/>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BF7A7B"/>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BF7A7B"/>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BF7A7B"/>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BF7A7B"/>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BF7A7B"/>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BF7A7B"/>
    <w:rPr>
      <w:rFonts w:eastAsiaTheme="majorEastAsia" w:cstheme="majorBidi"/>
      <w:color w:val="272727" w:themeColor="text1" w:themeTint="D8"/>
    </w:rPr>
  </w:style>
  <w:style w:type="paragraph" w:styleId="Nzov">
    <w:name w:val="Title"/>
    <w:basedOn w:val="Normlny"/>
    <w:next w:val="Normlny"/>
    <w:link w:val="NzovChar"/>
    <w:uiPriority w:val="10"/>
    <w:qFormat/>
    <w:rsid w:val="00BF7A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F7A7B"/>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BF7A7B"/>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BF7A7B"/>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BF7A7B"/>
    <w:pPr>
      <w:spacing w:before="160"/>
      <w:jc w:val="center"/>
    </w:pPr>
    <w:rPr>
      <w:i/>
      <w:iCs/>
      <w:color w:val="404040" w:themeColor="text1" w:themeTint="BF"/>
    </w:rPr>
  </w:style>
  <w:style w:type="character" w:customStyle="1" w:styleId="CitciaChar">
    <w:name w:val="Citácia Char"/>
    <w:basedOn w:val="Predvolenpsmoodseku"/>
    <w:link w:val="Citcia"/>
    <w:uiPriority w:val="29"/>
    <w:rsid w:val="00BF7A7B"/>
    <w:rPr>
      <w:i/>
      <w:iCs/>
      <w:color w:val="404040" w:themeColor="text1" w:themeTint="BF"/>
    </w:rPr>
  </w:style>
  <w:style w:type="paragraph" w:styleId="Odsekzoznamu">
    <w:name w:val="List Paragraph"/>
    <w:basedOn w:val="Normlny"/>
    <w:uiPriority w:val="34"/>
    <w:qFormat/>
    <w:rsid w:val="00BF7A7B"/>
    <w:pPr>
      <w:ind w:left="720"/>
      <w:contextualSpacing/>
    </w:pPr>
  </w:style>
  <w:style w:type="character" w:styleId="Intenzvnezvraznenie">
    <w:name w:val="Intense Emphasis"/>
    <w:basedOn w:val="Predvolenpsmoodseku"/>
    <w:uiPriority w:val="21"/>
    <w:qFormat/>
    <w:rsid w:val="00BF7A7B"/>
    <w:rPr>
      <w:i/>
      <w:iCs/>
      <w:color w:val="0F4761" w:themeColor="accent1" w:themeShade="BF"/>
    </w:rPr>
  </w:style>
  <w:style w:type="paragraph" w:styleId="Zvraznencitcia">
    <w:name w:val="Intense Quote"/>
    <w:basedOn w:val="Normlny"/>
    <w:next w:val="Normlny"/>
    <w:link w:val="ZvraznencitciaChar"/>
    <w:uiPriority w:val="30"/>
    <w:qFormat/>
    <w:rsid w:val="00BF7A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BF7A7B"/>
    <w:rPr>
      <w:i/>
      <w:iCs/>
      <w:color w:val="0F4761" w:themeColor="accent1" w:themeShade="BF"/>
    </w:rPr>
  </w:style>
  <w:style w:type="character" w:styleId="Zvraznenodkaz">
    <w:name w:val="Intense Reference"/>
    <w:basedOn w:val="Predvolenpsmoodseku"/>
    <w:uiPriority w:val="32"/>
    <w:qFormat/>
    <w:rsid w:val="00BF7A7B"/>
    <w:rPr>
      <w:b/>
      <w:bCs/>
      <w:smallCaps/>
      <w:color w:val="0F4761" w:themeColor="accent1" w:themeShade="BF"/>
      <w:spacing w:val="5"/>
    </w:rPr>
  </w:style>
  <w:style w:type="character" w:styleId="Hypertextovprepojenie">
    <w:name w:val="Hyperlink"/>
    <w:basedOn w:val="Predvolenpsmoodseku"/>
    <w:uiPriority w:val="99"/>
    <w:unhideWhenUsed/>
    <w:rsid w:val="00375B8E"/>
    <w:rPr>
      <w:color w:val="467886" w:themeColor="hyperlink"/>
      <w:u w:val="single"/>
    </w:rPr>
  </w:style>
  <w:style w:type="character" w:styleId="Nevyrieenzmienka">
    <w:name w:val="Unresolved Mention"/>
    <w:basedOn w:val="Predvolenpsmoodseku"/>
    <w:uiPriority w:val="99"/>
    <w:semiHidden/>
    <w:unhideWhenUsed/>
    <w:rsid w:val="00375B8E"/>
    <w:rPr>
      <w:color w:val="605E5C"/>
      <w:shd w:val="clear" w:color="auto" w:fill="E1DFDD"/>
    </w:rPr>
  </w:style>
  <w:style w:type="paragraph" w:customStyle="1" w:styleId="Standard">
    <w:name w:val="Standard"/>
    <w:rsid w:val="00AA29FC"/>
    <w:pPr>
      <w:suppressAutoHyphens/>
      <w:autoSpaceDN w:val="0"/>
      <w:spacing w:line="259" w:lineRule="auto"/>
      <w:textAlignment w:val="baseline"/>
    </w:pPr>
    <w:rPr>
      <w:rFonts w:ascii="Calibri" w:eastAsia="Calibri" w:hAnsi="Calibri" w:cs="DejaVu Sans"/>
      <w:kern w:val="3"/>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77/001979399504900104" TargetMode="External"/><Relationship Id="rId13" Type="http://schemas.openxmlformats.org/officeDocument/2006/relationships/hyperlink" Target="https://wid.world" TargetMode="External"/><Relationship Id="rId3" Type="http://schemas.openxmlformats.org/officeDocument/2006/relationships/settings" Target="settings.xml"/><Relationship Id="rId7" Type="http://schemas.openxmlformats.org/officeDocument/2006/relationships/hyperlink" Target="mailto:stanojurcisin11@gmail.com" TargetMode="External"/><Relationship Id="rId12" Type="http://schemas.openxmlformats.org/officeDocument/2006/relationships/hyperlink" Target="https://doi.org/10.1080/02692171.2026.265185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anislav.jurcisin@isrep.org" TargetMode="External"/><Relationship Id="rId11" Type="http://schemas.openxmlformats.org/officeDocument/2006/relationships/hyperlink" Target="https://doi.org/10.1080/02692171.2026.2629831" TargetMode="External"/><Relationship Id="rId5" Type="http://schemas.openxmlformats.org/officeDocument/2006/relationships/hyperlink" Target="https://orcid.org/0009-0006-7927-2317" TargetMode="External"/><Relationship Id="rId15" Type="http://schemas.openxmlformats.org/officeDocument/2006/relationships/theme" Target="theme/theme1.xml"/><Relationship Id="rId10" Type="http://schemas.openxmlformats.org/officeDocument/2006/relationships/hyperlink" Target="https://doi.org/10.1080/02692171.2025.2602519" TargetMode="External"/><Relationship Id="rId4" Type="http://schemas.openxmlformats.org/officeDocument/2006/relationships/webSettings" Target="webSettings.xml"/><Relationship Id="rId9" Type="http://schemas.openxmlformats.org/officeDocument/2006/relationships/hyperlink" Target="https://doi.org/10.1017/S1537592714001595"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537</TotalTime>
  <Pages>15</Pages>
  <Words>6393</Words>
  <Characters>36443</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Stano Jurcisin</dc:creator>
  <cp:keywords/>
  <dc:description/>
  <cp:lastModifiedBy>Stano Jurcisin</cp:lastModifiedBy>
  <cp:revision>12</cp:revision>
  <cp:lastPrinted>2026-08-22T13:50:00Z</cp:lastPrinted>
  <dcterms:created xsi:type="dcterms:W3CDTF">2026-08-15T13:21:00Z</dcterms:created>
  <dcterms:modified xsi:type="dcterms:W3CDTF">2026-08-22T13:57:00Z</dcterms:modified>
</cp:coreProperties>
</file>