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3D83" w14:textId="77777777" w:rsidR="00E90F81" w:rsidRDefault="00E90F81" w:rsidP="005566B7">
      <w:pPr>
        <w:spacing w:line="276" w:lineRule="auto"/>
        <w:jc w:val="center"/>
        <w:rPr>
          <w:b/>
          <w:bCs/>
        </w:rPr>
      </w:pPr>
      <w:r w:rsidRPr="00683A53">
        <w:rPr>
          <w:b/>
          <w:bCs/>
        </w:rPr>
        <w:t>EMG Annual Conference 2026</w:t>
      </w:r>
    </w:p>
    <w:p w14:paraId="49EC7AD8" w14:textId="77777777" w:rsidR="00E90F81" w:rsidRPr="00683A53" w:rsidRDefault="00E90F81" w:rsidP="005566B7">
      <w:pPr>
        <w:spacing w:line="276" w:lineRule="auto"/>
        <w:jc w:val="center"/>
        <w:rPr>
          <w:b/>
          <w:bCs/>
        </w:rPr>
      </w:pPr>
      <w:r w:rsidRPr="00683A53">
        <w:rPr>
          <w:b/>
          <w:bCs/>
        </w:rPr>
        <w:t>Workshop H</w:t>
      </w:r>
      <w:r>
        <w:rPr>
          <w:b/>
          <w:bCs/>
        </w:rPr>
        <w:t>:</w:t>
      </w:r>
      <w:r w:rsidRPr="00683A53">
        <w:rPr>
          <w:b/>
          <w:bCs/>
        </w:rPr>
        <w:t xml:space="preserve"> Alternatives</w:t>
      </w:r>
    </w:p>
    <w:p w14:paraId="103194EA" w14:textId="77777777" w:rsidR="00E90F81" w:rsidRPr="00683A53" w:rsidRDefault="00E90F81" w:rsidP="005566B7">
      <w:pPr>
        <w:spacing w:line="276" w:lineRule="auto"/>
        <w:jc w:val="center"/>
        <w:rPr>
          <w:b/>
          <w:bCs/>
        </w:rPr>
      </w:pPr>
    </w:p>
    <w:p w14:paraId="592A881C" w14:textId="77777777" w:rsidR="00E90F81" w:rsidRDefault="00E90F81" w:rsidP="005566B7">
      <w:pPr>
        <w:spacing w:line="276" w:lineRule="auto"/>
        <w:jc w:val="center"/>
        <w:rPr>
          <w:b/>
          <w:bCs/>
        </w:rPr>
      </w:pPr>
      <w:r w:rsidRPr="00683A53">
        <w:rPr>
          <w:b/>
          <w:bCs/>
        </w:rPr>
        <w:t>Governing humanitarianism in the current conjuncture</w:t>
      </w:r>
    </w:p>
    <w:p w14:paraId="2FD9C953" w14:textId="77777777" w:rsidR="00024EA0" w:rsidRDefault="00E90F81" w:rsidP="005566B7">
      <w:pPr>
        <w:spacing w:line="276" w:lineRule="auto"/>
        <w:jc w:val="center"/>
      </w:pPr>
      <w:r>
        <w:t>Susan P. Murphy,</w:t>
      </w:r>
      <w:r w:rsidR="00024EA0">
        <w:t xml:space="preserve"> PhD.</w:t>
      </w:r>
    </w:p>
    <w:p w14:paraId="4FB46F5D" w14:textId="151DB5F2" w:rsidR="00E90F81" w:rsidRDefault="00E90F81" w:rsidP="005566B7">
      <w:pPr>
        <w:spacing w:line="276" w:lineRule="auto"/>
        <w:jc w:val="center"/>
      </w:pPr>
      <w:r>
        <w:t xml:space="preserve"> Associate Professor in Development Practice, Geography, School of Natural Sciences, Trinity College Dublin</w:t>
      </w:r>
      <w:r>
        <w:rPr>
          <w:rStyle w:val="FootnoteReference"/>
        </w:rPr>
        <w:footnoteReference w:id="1"/>
      </w:r>
    </w:p>
    <w:p w14:paraId="582130C7" w14:textId="77777777" w:rsidR="00E90F81" w:rsidRDefault="00E90F81" w:rsidP="005566B7">
      <w:pPr>
        <w:spacing w:line="276" w:lineRule="auto"/>
        <w:jc w:val="center"/>
      </w:pPr>
      <w:r>
        <w:t xml:space="preserve">Email: </w:t>
      </w:r>
      <w:hyperlink r:id="rId6" w:history="1">
        <w:r w:rsidRPr="004B0A33">
          <w:rPr>
            <w:rStyle w:val="Hyperlink"/>
          </w:rPr>
          <w:t>susan.p.murphy@tcd.ie</w:t>
        </w:r>
      </w:hyperlink>
    </w:p>
    <w:p w14:paraId="0C593503" w14:textId="77777777" w:rsidR="00E90F81" w:rsidRPr="004F7F85" w:rsidRDefault="00E90F81" w:rsidP="005566B7">
      <w:pPr>
        <w:pStyle w:val="Heading1"/>
        <w:spacing w:line="276" w:lineRule="auto"/>
        <w:rPr>
          <w:rFonts w:asciiTheme="minorHAnsi" w:hAnsiTheme="minorHAnsi"/>
          <w:b/>
          <w:sz w:val="24"/>
          <w:szCs w:val="24"/>
        </w:rPr>
      </w:pPr>
      <w:r w:rsidRPr="004F7F85">
        <w:rPr>
          <w:rFonts w:asciiTheme="minorHAnsi" w:hAnsiTheme="minorHAnsi"/>
          <w:b/>
          <w:sz w:val="24"/>
          <w:szCs w:val="24"/>
        </w:rPr>
        <w:t>Abstract</w:t>
      </w:r>
    </w:p>
    <w:p w14:paraId="55536B16" w14:textId="77777777" w:rsidR="00E90F81" w:rsidRDefault="00E90F81" w:rsidP="005566B7">
      <w:pPr>
        <w:spacing w:line="276" w:lineRule="auto"/>
        <w:jc w:val="both"/>
      </w:pPr>
      <w:r w:rsidRPr="00842546">
        <w:t>This paper explores how the evolving geopolitic</w:t>
      </w:r>
      <w:r>
        <w:t xml:space="preserve">al context </w:t>
      </w:r>
      <w:r w:rsidRPr="00842546">
        <w:t>is shaping</w:t>
      </w:r>
      <w:r>
        <w:t xml:space="preserve"> the civil society sector in Ukraine</w:t>
      </w:r>
      <w:r w:rsidRPr="00842546">
        <w:t xml:space="preserve">. As key actors in the </w:t>
      </w:r>
      <w:r>
        <w:t xml:space="preserve">humanitarian </w:t>
      </w:r>
      <w:r w:rsidRPr="00842546">
        <w:t xml:space="preserve">response to Russia’s invasion, the number of civil society organisations (CSOs) operating in Ukraine has grown </w:t>
      </w:r>
      <w:r>
        <w:t>exponentially</w:t>
      </w:r>
      <w:r w:rsidRPr="00842546">
        <w:t>. Situated at the centre of an East–West struggle</w:t>
      </w:r>
      <w:r>
        <w:t xml:space="preserve"> for hegemony</w:t>
      </w:r>
      <w:r w:rsidRPr="00842546">
        <w:t xml:space="preserve">, Ukraine’s emergent civil society sector has engaged extensively with </w:t>
      </w:r>
      <w:r>
        <w:t>the global humanitarian architecture</w:t>
      </w:r>
      <w:r w:rsidRPr="00842546">
        <w:t>.</w:t>
      </w:r>
      <w:r>
        <w:t xml:space="preserve"> However, as new geopolitical formations assemble and the international rule-based order atrophies, Ukraine increasingly finds itself at the epicentre of a defining struggle between the EU’s promise of liberal democracy on one side and US/Russian anti-liberal neo-imperialist authoritarianism on the other. </w:t>
      </w:r>
      <w:r w:rsidRPr="00842546">
        <w:t>Using assemblage thinking</w:t>
      </w:r>
      <w:r>
        <w:t>,</w:t>
      </w:r>
      <w:r w:rsidRPr="00842546">
        <w:t xml:space="preserve"> </w:t>
      </w:r>
      <w:r>
        <w:t>critical realist ontology</w:t>
      </w:r>
      <w:r w:rsidRPr="00842546">
        <w:t xml:space="preserve">, </w:t>
      </w:r>
      <w:r>
        <w:t>and qualitative methods of key-informant interview and document analysis, the paper traces the emergence, functioning, and evolution of a formalised, institutionalised civil society sector. Our findings reveal</w:t>
      </w:r>
      <w:r w:rsidRPr="00842546">
        <w:t xml:space="preserve"> the struggle for </w:t>
      </w:r>
      <w:r>
        <w:t xml:space="preserve">organisational </w:t>
      </w:r>
      <w:r w:rsidRPr="00842546">
        <w:t xml:space="preserve">autonomy, recognition, and identity </w:t>
      </w:r>
      <w:r>
        <w:t>as the civic space is re-institutionalised in response to the war</w:t>
      </w:r>
      <w:r w:rsidRPr="00842546">
        <w:t xml:space="preserve">. </w:t>
      </w:r>
      <w:r>
        <w:t>A</w:t>
      </w:r>
      <w:r w:rsidRPr="00842546">
        <w:t xml:space="preserve">s local CSOs push for </w:t>
      </w:r>
      <w:r>
        <w:t>greater</w:t>
      </w:r>
      <w:r w:rsidRPr="00842546">
        <w:t xml:space="preserve"> localisation and recognition</w:t>
      </w:r>
      <w:r>
        <w:t xml:space="preserve"> in the governance of the humanitarian response</w:t>
      </w:r>
      <w:r w:rsidRPr="00842546">
        <w:t xml:space="preserve">, </w:t>
      </w:r>
      <w:r>
        <w:t xml:space="preserve">they face resistance from the </w:t>
      </w:r>
      <w:r w:rsidRPr="00842546">
        <w:t xml:space="preserve">centralising forces and dominant tendencies of the global humanitarian </w:t>
      </w:r>
      <w:r>
        <w:t>system</w:t>
      </w:r>
      <w:r w:rsidRPr="00842546">
        <w:t>.</w:t>
      </w:r>
      <w:r>
        <w:t xml:space="preserve"> Yet, a</w:t>
      </w:r>
      <w:r w:rsidRPr="00842546">
        <w:t>s th</w:t>
      </w:r>
      <w:r>
        <w:t xml:space="preserve">e institutions and logics of </w:t>
      </w:r>
      <w:r w:rsidRPr="00842546">
        <w:t xml:space="preserve">this </w:t>
      </w:r>
      <w:r>
        <w:t>social structure collapse</w:t>
      </w:r>
      <w:r w:rsidRPr="00842546">
        <w:t xml:space="preserve">, opportunities for meaningful alternatives in humanitarian governance </w:t>
      </w:r>
      <w:r>
        <w:t xml:space="preserve">are </w:t>
      </w:r>
      <w:r w:rsidRPr="00842546">
        <w:t>emerg</w:t>
      </w:r>
      <w:r>
        <w:t xml:space="preserve">ing, based on local forms of civic associationism and self-organisation. Such collective institutions are necessary for progressive and dynamic state-society relations. </w:t>
      </w:r>
    </w:p>
    <w:p w14:paraId="7C401144" w14:textId="77777777" w:rsidR="00E90F81" w:rsidRDefault="00E90F81" w:rsidP="005566B7">
      <w:pPr>
        <w:spacing w:line="276" w:lineRule="auto"/>
        <w:jc w:val="both"/>
      </w:pPr>
      <w:r w:rsidRPr="008D445B">
        <w:rPr>
          <w:b/>
          <w:bCs/>
        </w:rPr>
        <w:lastRenderedPageBreak/>
        <w:t>Key Words</w:t>
      </w:r>
      <w:r>
        <w:t>: Ukraine; Civil Society Organisations; Humanitarian governance; Localisation</w:t>
      </w:r>
    </w:p>
    <w:p w14:paraId="1EF0E01A" w14:textId="77777777" w:rsidR="004B4401" w:rsidRPr="00D73858" w:rsidRDefault="004B4401" w:rsidP="005566B7">
      <w:pPr>
        <w:pStyle w:val="Heading1"/>
        <w:spacing w:line="276" w:lineRule="auto"/>
        <w:rPr>
          <w:rFonts w:asciiTheme="minorHAnsi" w:hAnsiTheme="minorHAnsi"/>
          <w:b/>
          <w:sz w:val="24"/>
          <w:szCs w:val="24"/>
        </w:rPr>
      </w:pPr>
      <w:r w:rsidRPr="00D73858">
        <w:rPr>
          <w:rFonts w:asciiTheme="minorHAnsi" w:hAnsiTheme="minorHAnsi"/>
          <w:b/>
          <w:sz w:val="24"/>
          <w:szCs w:val="24"/>
        </w:rPr>
        <w:t>Introduction</w:t>
      </w:r>
    </w:p>
    <w:p w14:paraId="19D1F88D" w14:textId="77777777" w:rsidR="004B4401" w:rsidRDefault="004B4401" w:rsidP="005566B7">
      <w:pPr>
        <w:spacing w:line="276" w:lineRule="auto"/>
        <w:jc w:val="both"/>
      </w:pPr>
      <w:r>
        <w:t>As Russia’s war on Ukraine unfolds, the enduring social, political, environmental and economic effects of the full-scale invasion are stark. According to the United Nations Organisation for the Coordination of Humanitarian Affairs (UN OCHA), Ukraine has the highest displaced population, internally and internationally, ever recorded for any country (</w:t>
      </w:r>
      <w:proofErr w:type="spellStart"/>
      <w:r>
        <w:t>Mikheieva</w:t>
      </w:r>
      <w:proofErr w:type="spellEnd"/>
      <w:r>
        <w:t xml:space="preserve"> &amp; Kuznetsova, 2024). In 2026, 5.6 million people remained displaced externally as refugees (</w:t>
      </w:r>
      <w:proofErr w:type="spellStart"/>
      <w:r w:rsidRPr="00812129">
        <w:t>Ippolitova</w:t>
      </w:r>
      <w:proofErr w:type="spellEnd"/>
      <w:r>
        <w:t xml:space="preserve"> et al., 2026), 3.7 million people remained displaced internally within Ukraine (IDMC, 2026), and 10.7 million remain in need of humanitarian assistance (UN OCHA, 2026). The extent of disruption to social systems is matched only by the extent of devastation to Ukraine’s rich ecological systems and biodiversity (</w:t>
      </w:r>
      <w:proofErr w:type="spellStart"/>
      <w:r w:rsidRPr="0066775D">
        <w:t>Yutilova</w:t>
      </w:r>
      <w:proofErr w:type="spellEnd"/>
      <w:r>
        <w:t xml:space="preserve"> et al., 2025). As a source of food and agricultural products to the world market, it will take decades for the water systems and soil to recover and for biodiversity to return. </w:t>
      </w:r>
    </w:p>
    <w:p w14:paraId="2738E80E" w14:textId="77777777" w:rsidR="004B4401" w:rsidRDefault="004B4401" w:rsidP="005566B7">
      <w:pPr>
        <w:spacing w:line="276" w:lineRule="auto"/>
        <w:jc w:val="both"/>
      </w:pPr>
      <w:r>
        <w:t xml:space="preserve">In response to the ongoing war and multifaceted devastation, evidence suggests that Ukrainian civil society organised with speed and determination following the full-scale ground invasion commencing in February 2022. Research from Zarembo and Martin finds that by April 2022, approximately 80 percent of Ukrainians were involved in civic resistance of some kind (2024, p. 203). This moment, according to </w:t>
      </w:r>
      <w:r w:rsidRPr="001D73B2">
        <w:rPr>
          <w:rFonts w:eastAsia="Yu Gothic" w:cs="Arial"/>
        </w:rPr>
        <w:t xml:space="preserve">Stepanenko and Stewart, </w:t>
      </w:r>
      <w:r>
        <w:rPr>
          <w:rFonts w:eastAsiaTheme="minorEastAsia"/>
        </w:rPr>
        <w:t>‘</w:t>
      </w:r>
      <w:r w:rsidRPr="7761C56A">
        <w:rPr>
          <w:rFonts w:eastAsiaTheme="minorEastAsia"/>
        </w:rPr>
        <w:t xml:space="preserve">triggered a powerful wave of Ukrainian patriotism and </w:t>
      </w:r>
      <w:r>
        <w:rPr>
          <w:rFonts w:eastAsiaTheme="minorEastAsia"/>
        </w:rPr>
        <w:t>mobilisation</w:t>
      </w:r>
      <w:r w:rsidRPr="7761C56A">
        <w:rPr>
          <w:rFonts w:eastAsiaTheme="minorEastAsia"/>
        </w:rPr>
        <w:t xml:space="preserve"> of civil society, resembling experiences from the Revolution of Dignity (2013–2014) but exceeding them in scale, significance and impact</w:t>
      </w:r>
      <w:r>
        <w:rPr>
          <w:rFonts w:eastAsiaTheme="minorEastAsia"/>
        </w:rPr>
        <w:t xml:space="preserve">’ </w:t>
      </w:r>
      <w:r w:rsidRPr="00E150D3">
        <w:rPr>
          <w:rFonts w:eastAsiaTheme="minorEastAsia"/>
        </w:rPr>
        <w:t>(</w:t>
      </w:r>
      <w:r w:rsidRPr="001D73B2">
        <w:rPr>
          <w:rFonts w:eastAsia="Yu Gothic" w:cs="Arial"/>
        </w:rPr>
        <w:t>2025, p. 152)</w:t>
      </w:r>
      <w:r w:rsidRPr="00E150D3">
        <w:rPr>
          <w:rFonts w:eastAsiaTheme="minorEastAsia"/>
        </w:rPr>
        <w:t>.</w:t>
      </w:r>
      <w:r>
        <w:rPr>
          <w:rFonts w:eastAsiaTheme="minorEastAsia"/>
        </w:rPr>
        <w:t xml:space="preserve"> In the early days of the full-scale invasion, </w:t>
      </w:r>
      <w:r>
        <w:t xml:space="preserve">UN OCHA identified 461 partner organisations to lead the humanitarian response. This included 236 international Non-Governmental Organisations (INGOs) and 112 local and national Civil Society Organisations (LN CSOs) (Bierman &amp; Runde, 2023). Since this time, the number of LN CSOs has grown exponentially, with the Civil Society Forum of 2025 hosting over 5000 participating organisations. When this stage of the war </w:t>
      </w:r>
      <w:proofErr w:type="gramStart"/>
      <w:r>
        <w:t>comes to a close</w:t>
      </w:r>
      <w:proofErr w:type="gramEnd"/>
      <w:r>
        <w:t xml:space="preserve">, as it inevitably will, a process of reconstruction and restorative development will follow. Ukrainian civil society is likely to be central to this. </w:t>
      </w:r>
    </w:p>
    <w:p w14:paraId="4D2B28B8" w14:textId="77777777" w:rsidR="004B4401" w:rsidRDefault="004B4401" w:rsidP="005566B7">
      <w:pPr>
        <w:spacing w:line="276" w:lineRule="auto"/>
        <w:jc w:val="both"/>
      </w:pPr>
      <w:r>
        <w:t xml:space="preserve">For obvious reasons, much attention has been dedicated to why the war erupted, with a focus on NATO expansionism and Russian imperialism. Other research has closely followed Ukraine’s military response, the activation of Western alliances, remilitarisation of international relations, and rearmament of Europe. But less attention has been given to the social-structural transformations being shaped by this war and how it is influencing state-civil society relations. Further, the cultural war that also informs this conflict and is actively reshaping geopolitical alliances is not featured in mainstream public debates, media and discourse, and yet has a distinct influence of the shape of the civic sector as this emerges. </w:t>
      </w:r>
    </w:p>
    <w:p w14:paraId="0BC5E733" w14:textId="77777777" w:rsidR="004B4401" w:rsidRDefault="004B4401" w:rsidP="005566B7">
      <w:pPr>
        <w:spacing w:line="276" w:lineRule="auto"/>
        <w:jc w:val="both"/>
      </w:pPr>
      <w:r>
        <w:lastRenderedPageBreak/>
        <w:t xml:space="preserve">Maryna Shetsova has been tracing the emergence of anti-genderism in the context of Russian imperialist expansionism and interference in the affairs of its neighbours for over a decade (see, for example, </w:t>
      </w:r>
      <w:proofErr w:type="spellStart"/>
      <w:r>
        <w:t>Shetsova</w:t>
      </w:r>
      <w:proofErr w:type="spellEnd"/>
      <w:r>
        <w:t xml:space="preserve"> 2020; 2023). As the full-scale invasion of Ukraine unfolded in February 2022, President Putin argued that the invasion was necessary not only to protect Russia from an expansionist NATO, but to protect traditional family values against Europeanisation, understood as the expansion of liberal values on gender, sexuality, diversity, inclusivity and equality. For the first two years of the war, Ukraine was at the centre of a war between the East and the West over values as well as territory. This changed with the arrival of the second Trump regime to the White House in early 2025. </w:t>
      </w:r>
    </w:p>
    <w:p w14:paraId="42434686" w14:textId="77777777" w:rsidR="004B4401" w:rsidRDefault="004B4401" w:rsidP="005566B7">
      <w:pPr>
        <w:spacing w:line="276" w:lineRule="auto"/>
        <w:jc w:val="both"/>
      </w:pPr>
      <w:r w:rsidRPr="0049342F">
        <w:t>Commencing</w:t>
      </w:r>
      <w:r>
        <w:t xml:space="preserve"> with the suspension and then dissolution of the United States Agency for International Development which provided the largest amount of funding to Ukraine’s humanitarian efforts in January 2025 (Trump, 2025), followed </w:t>
      </w:r>
      <w:r w:rsidRPr="0049342F">
        <w:t xml:space="preserve">in </w:t>
      </w:r>
      <w:r w:rsidRPr="0049342F">
        <w:rPr>
          <w:rFonts w:cs="Calibri"/>
        </w:rPr>
        <w:t xml:space="preserve">April 2025, </w:t>
      </w:r>
      <w:r>
        <w:rPr>
          <w:rFonts w:cs="Calibri"/>
        </w:rPr>
        <w:t xml:space="preserve">with steps to deinstitutionalise diversity, equality and inclusion in security governance by </w:t>
      </w:r>
      <w:r w:rsidRPr="0049342F">
        <w:rPr>
          <w:rFonts w:cs="Calibri"/>
        </w:rPr>
        <w:t>the Secretary to the Department of Defence (later renamed the Department of War), Pete Hegseth</w:t>
      </w:r>
      <w:r>
        <w:rPr>
          <w:rFonts w:cs="Calibri"/>
        </w:rPr>
        <w:t xml:space="preserve">. </w:t>
      </w:r>
      <w:r w:rsidRPr="0049342F">
        <w:t xml:space="preserve">This </w:t>
      </w:r>
      <w:r>
        <w:t>anti-liberal cultural transformation</w:t>
      </w:r>
      <w:r w:rsidRPr="0049342F">
        <w:t xml:space="preserve"> was solidified in Trump’s National Security</w:t>
      </w:r>
      <w:r>
        <w:t xml:space="preserve"> Strategy, which argues that the US cannot achieve its objectives ‘without growing numbers of strong, traditional families that raise healthy children’ (The White House, 2025, p. 4).</w:t>
      </w:r>
    </w:p>
    <w:p w14:paraId="29F568F5" w14:textId="77777777" w:rsidR="004B4401" w:rsidRDefault="004B4401" w:rsidP="005566B7">
      <w:pPr>
        <w:spacing w:line="276" w:lineRule="auto"/>
        <w:jc w:val="both"/>
      </w:pPr>
      <w:r>
        <w:t xml:space="preserve">From early 2025, geopolitical realignments, energised and fuelled by emerging anti-genderist, anti-rights, and anti-liberal social movements and mobilisations have influenced the shape of the international peace and security institutional order and the rule of law. Active processes entailing defunding key multilateral agencies unfolded with the US sharply reduced foreign assistance affecting a number United Nations agencies through 2025, including humanitarian agencies.  Consequently, Ukraine has found itself at the epicentre of a defining struggle between the EU’s promise of liberal democracy on one side and US/Russian anti-liberal neo-imperialist authoritarianism on the other. This paper offers insights into the emergence and evolution of Ukraine’s civil society sector at this moment of rupture, when not only territory but also worldviews and value systems are being transformed. </w:t>
      </w:r>
    </w:p>
    <w:p w14:paraId="46C85685" w14:textId="77777777" w:rsidR="004B4401" w:rsidRDefault="004B4401" w:rsidP="005566B7">
      <w:pPr>
        <w:spacing w:line="276" w:lineRule="auto"/>
        <w:jc w:val="both"/>
      </w:pPr>
      <w:r>
        <w:t xml:space="preserve">The following begins with a brief overview of the context and background to the study, drawing on theoretical and empirical scholarship on civil society, the historical-political context of post-Soviet states, and the morphological changes in Ukraine’s civic space over time and their role in the humanitarian response. Section 3 details the methodology and methods used to gather the study's qualitative empirical data. The study was guided by an assemblage approach (Mc Gandy et al., 2025), underpinned by a critical realist ontology (Fletcher, 2017; Archer et al., 2013). We undertook a stakeholder mapping exercise to trace the emergence and evolution of a network of new local and national CSOs who had established an advocacy body to lobby for increased localisation and local voice in humanitarian governance decision-making, including funding and programme design. This network emerged as local organisations were quickly moved </w:t>
      </w:r>
      <w:r>
        <w:lastRenderedPageBreak/>
        <w:t xml:space="preserve">from their role as first responders, emerging out of affected populations, into the status of ‘implementer’ based on projects and programmes designed and determined by the central humanitarian coordinating body (UN OCHA) and their partner INGOs, in collaboration with institutional donors such as Irish Aid, the United States Agency for International Development (USAID), and the aid agencies for other leading donors including the UK, Germany and the EU. </w:t>
      </w:r>
    </w:p>
    <w:p w14:paraId="0EAC0C27" w14:textId="77777777" w:rsidR="004B4401" w:rsidRDefault="004B4401" w:rsidP="005566B7">
      <w:pPr>
        <w:spacing w:line="276" w:lineRule="auto"/>
        <w:jc w:val="both"/>
      </w:pPr>
      <w:r>
        <w:t xml:space="preserve">33 key informant interviews took place with representatives from seven local and national CSOs, three international non-governmental organisations (INGOs) and one donor over two data collection periods in January and October 2025.  Rich contextual and reflective thematic analysis was used to analyse the data (Braun &amp; Clarke, 2006; Clarke &amp; Braun, 2017; Fryer, 2022) and as all participants were asked similar questions during the interviews, a form of </w:t>
      </w:r>
      <w:proofErr w:type="spellStart"/>
      <w:r>
        <w:t>contrapunctual</w:t>
      </w:r>
      <w:proofErr w:type="spellEnd"/>
      <w:r>
        <w:t xml:space="preserve"> analysis was used to reveal the competing perspectives and interests of differently situated actors and organisations. </w:t>
      </w:r>
      <w:proofErr w:type="spellStart"/>
      <w:r>
        <w:t>NVivio</w:t>
      </w:r>
      <w:proofErr w:type="spellEnd"/>
      <w:r>
        <w:t xml:space="preserve"> 14 was used to support the organisation and management of the data and data analysis process. </w:t>
      </w:r>
    </w:p>
    <w:p w14:paraId="795AF3DB" w14:textId="77777777" w:rsidR="004B4401" w:rsidRDefault="004B4401" w:rsidP="005566B7">
      <w:pPr>
        <w:spacing w:line="276" w:lineRule="auto"/>
        <w:jc w:val="both"/>
      </w:pPr>
      <w:r>
        <w:t xml:space="preserve">Section 4 shares insights from the thematic analysis presenting results and discussion in four sub-sections, commencing with a thick descriptive account of the emergence, expansion and formalisation of the civils society sector in Ukraine in the post-2022 period. A further three analytical sections focus on the dynamics within the sector, including navigating contexts of complexity, competition and contingency; explorations of power, interests, and competing priorities, and finally, reflections on the opportunities and threats for transforming governance practices. Section 5 shares concluding comments, observations, reflecting on the implications for humanitarian governance and state-civil society relations in Ukraine, as well as possibilities for the sustained </w:t>
      </w:r>
      <w:proofErr w:type="spellStart"/>
      <w:r>
        <w:t>reinstitutionalisation</w:t>
      </w:r>
      <w:proofErr w:type="spellEnd"/>
      <w:r>
        <w:t xml:space="preserve"> of associational life in Ukraine more broadly.</w:t>
      </w:r>
    </w:p>
    <w:p w14:paraId="68034B17" w14:textId="77777777" w:rsidR="00374387" w:rsidRDefault="00374387" w:rsidP="005566B7">
      <w:pPr>
        <w:spacing w:line="276" w:lineRule="auto"/>
        <w:jc w:val="both"/>
      </w:pPr>
    </w:p>
    <w:p w14:paraId="699E8A70" w14:textId="0C0D37A9" w:rsidR="00374387" w:rsidRPr="00374387" w:rsidRDefault="00374387" w:rsidP="005566B7">
      <w:pPr>
        <w:pStyle w:val="Heading1"/>
        <w:spacing w:line="276" w:lineRule="auto"/>
        <w:rPr>
          <w:sz w:val="24"/>
          <w:szCs w:val="24"/>
        </w:rPr>
      </w:pPr>
      <w:r w:rsidRPr="00374387">
        <w:rPr>
          <w:sz w:val="24"/>
          <w:szCs w:val="24"/>
        </w:rPr>
        <w:t>References:</w:t>
      </w:r>
    </w:p>
    <w:p w14:paraId="332FE3BA" w14:textId="77777777" w:rsidR="005566B7" w:rsidRDefault="005566B7" w:rsidP="005566B7">
      <w:pPr>
        <w:spacing w:line="276" w:lineRule="auto"/>
        <w:ind w:hanging="480"/>
      </w:pPr>
      <w:r>
        <w:t xml:space="preserve">Archer, M., Bhaskar, R., Collier, A., Lawson, T., &amp; Norrie, A. (Eds.). (2013). </w:t>
      </w:r>
      <w:r>
        <w:rPr>
          <w:i/>
          <w:iCs/>
        </w:rPr>
        <w:t>Critical Realism</w:t>
      </w:r>
      <w:r>
        <w:t xml:space="preserve"> (0 ed.). Routledge. </w:t>
      </w:r>
      <w:hyperlink r:id="rId7" w:history="1">
        <w:r>
          <w:rPr>
            <w:rStyle w:val="Hyperlink"/>
          </w:rPr>
          <w:t>https://doi.org/10.4324/9781315008592</w:t>
        </w:r>
      </w:hyperlink>
    </w:p>
    <w:p w14:paraId="4F402D1D" w14:textId="77777777" w:rsidR="005566B7" w:rsidRDefault="005566B7" w:rsidP="005566B7">
      <w:pPr>
        <w:spacing w:line="276" w:lineRule="auto"/>
        <w:ind w:hanging="480"/>
      </w:pPr>
      <w:proofErr w:type="spellStart"/>
      <w:r>
        <w:t>Baća</w:t>
      </w:r>
      <w:proofErr w:type="spellEnd"/>
      <w:r>
        <w:t xml:space="preserve">, B. (2022). Practice Theory and </w:t>
      </w:r>
      <w:proofErr w:type="spellStart"/>
      <w:r>
        <w:t>Postsocialist</w:t>
      </w:r>
      <w:proofErr w:type="spellEnd"/>
      <w:r>
        <w:t xml:space="preserve"> Civil Society: Toward a New Analytical Framework. </w:t>
      </w:r>
      <w:r>
        <w:rPr>
          <w:i/>
          <w:iCs/>
        </w:rPr>
        <w:t>International Political Sociology</w:t>
      </w:r>
      <w:r>
        <w:t xml:space="preserve">, </w:t>
      </w:r>
      <w:r>
        <w:rPr>
          <w:i/>
          <w:iCs/>
        </w:rPr>
        <w:t>16</w:t>
      </w:r>
      <w:r>
        <w:t xml:space="preserve">(1), olab021. </w:t>
      </w:r>
      <w:hyperlink r:id="rId8" w:history="1">
        <w:r>
          <w:rPr>
            <w:rStyle w:val="Hyperlink"/>
          </w:rPr>
          <w:t>https://doi.org/10.1093/ips/olab021</w:t>
        </w:r>
      </w:hyperlink>
    </w:p>
    <w:p w14:paraId="6C0F8381" w14:textId="77777777" w:rsidR="005566B7" w:rsidRDefault="005566B7" w:rsidP="005566B7">
      <w:pPr>
        <w:spacing w:line="276" w:lineRule="auto"/>
        <w:ind w:hanging="480"/>
      </w:pPr>
      <w:proofErr w:type="spellStart"/>
      <w:r>
        <w:t>Baća</w:t>
      </w:r>
      <w:proofErr w:type="spellEnd"/>
      <w:r>
        <w:t xml:space="preserve">, B. (2025). POSTSOCIALIST CIVIL SOCIETY OR POSTSOCIALIST CIVIL SOCIETIES? A COMPARATIVE ANALYSIS OF REGIONAL COMMONALITIES AND DIFFERENCES IN CENTRAL AND EASTERN EUROPE. In </w:t>
      </w:r>
      <w:r>
        <w:rPr>
          <w:i/>
          <w:iCs/>
        </w:rPr>
        <w:t>New Europe College Yearbook</w:t>
      </w:r>
      <w:r>
        <w:t xml:space="preserve"> (Vol. 2, pp. 11–44). New Europe College. </w:t>
      </w:r>
      <w:hyperlink r:id="rId9" w:anchor="page=11" w:history="1">
        <w:r>
          <w:rPr>
            <w:rStyle w:val="Hyperlink"/>
          </w:rPr>
          <w:t>https://nec.ro/wp-content/uploads/2025/05/Anuar-NEC-2024-2025-vol-2.pdf#page=11</w:t>
        </w:r>
      </w:hyperlink>
    </w:p>
    <w:p w14:paraId="2A34E121" w14:textId="77777777" w:rsidR="005566B7" w:rsidRDefault="005566B7" w:rsidP="005566B7">
      <w:pPr>
        <w:spacing w:line="276" w:lineRule="auto"/>
        <w:ind w:hanging="480"/>
      </w:pPr>
      <w:r>
        <w:lastRenderedPageBreak/>
        <w:t xml:space="preserve">Baker, T., &amp; McGuirk, P. (2017). Assemblage thinking as methodology: Commitments and practices for critical policy research. </w:t>
      </w:r>
      <w:r>
        <w:rPr>
          <w:i/>
          <w:iCs/>
        </w:rPr>
        <w:t>Territory, Politics, Governance</w:t>
      </w:r>
      <w:r>
        <w:t xml:space="preserve">, </w:t>
      </w:r>
      <w:r>
        <w:rPr>
          <w:i/>
          <w:iCs/>
        </w:rPr>
        <w:t>5</w:t>
      </w:r>
      <w:r>
        <w:t xml:space="preserve">(4), 425–442. </w:t>
      </w:r>
      <w:hyperlink r:id="rId10" w:history="1">
        <w:r>
          <w:rPr>
            <w:rStyle w:val="Hyperlink"/>
          </w:rPr>
          <w:t>https://doi.org/10.1080/21622671.2016.1231631</w:t>
        </w:r>
      </w:hyperlink>
    </w:p>
    <w:p w14:paraId="49AD6CCE" w14:textId="77777777" w:rsidR="005566B7" w:rsidRDefault="005566B7" w:rsidP="005566B7">
      <w:pPr>
        <w:spacing w:line="276" w:lineRule="auto"/>
        <w:ind w:hanging="480"/>
      </w:pPr>
      <w:r>
        <w:t xml:space="preserve">Bierman, B., &amp; Runde, D. F. (2023). </w:t>
      </w:r>
      <w:r>
        <w:rPr>
          <w:i/>
          <w:iCs/>
        </w:rPr>
        <w:t>Ensuring NGO Accountability for Reconstruction and Humanitarian Relief in Ukraine</w:t>
      </w:r>
      <w:r>
        <w:t xml:space="preserve">. Centre for Strategic and International Studies. </w:t>
      </w:r>
      <w:hyperlink r:id="rId11" w:history="1">
        <w:r>
          <w:rPr>
            <w:rStyle w:val="Hyperlink"/>
          </w:rPr>
          <w:t>https://www.csis.org/analysis/ensuring-ngo-accountability-reconstruction-and-humanitarian-relief-ukraine</w:t>
        </w:r>
      </w:hyperlink>
    </w:p>
    <w:p w14:paraId="1D33EF0F" w14:textId="77777777" w:rsidR="005566B7" w:rsidRDefault="005566B7" w:rsidP="005566B7">
      <w:pPr>
        <w:spacing w:line="276" w:lineRule="auto"/>
        <w:ind w:hanging="480"/>
      </w:pPr>
      <w:proofErr w:type="spellStart"/>
      <w:r>
        <w:t>Boichak</w:t>
      </w:r>
      <w:proofErr w:type="spellEnd"/>
      <w:r>
        <w:t xml:space="preserve">, O., &amp; McKernan, B. (2024). Narratives of Volunteering and Social Change in Wartime Ukraine. </w:t>
      </w:r>
      <w:r>
        <w:rPr>
          <w:i/>
          <w:iCs/>
        </w:rPr>
        <w:t>Cultural Sociology</w:t>
      </w:r>
      <w:r>
        <w:t xml:space="preserve">, </w:t>
      </w:r>
      <w:r>
        <w:rPr>
          <w:i/>
          <w:iCs/>
        </w:rPr>
        <w:t>18</w:t>
      </w:r>
      <w:r>
        <w:t xml:space="preserve">(1), 48–71. Scopus. </w:t>
      </w:r>
      <w:hyperlink r:id="rId12" w:history="1">
        <w:r>
          <w:rPr>
            <w:rStyle w:val="Hyperlink"/>
          </w:rPr>
          <w:t>https://doi.org/10.1177/17499755221127877</w:t>
        </w:r>
      </w:hyperlink>
    </w:p>
    <w:p w14:paraId="6C66CC37" w14:textId="77777777" w:rsidR="005566B7" w:rsidRDefault="005566B7" w:rsidP="005566B7">
      <w:pPr>
        <w:spacing w:line="276" w:lineRule="auto"/>
        <w:ind w:hanging="480"/>
      </w:pPr>
      <w:proofErr w:type="spellStart"/>
      <w:r>
        <w:t>Bolukbasi</w:t>
      </w:r>
      <w:proofErr w:type="spellEnd"/>
      <w:r>
        <w:t xml:space="preserve">, H. T. (2026). Never waste a good crisis: Governing </w:t>
      </w:r>
      <w:r>
        <w:rPr>
          <w:i/>
          <w:iCs/>
        </w:rPr>
        <w:t>by</w:t>
      </w:r>
      <w:r>
        <w:t xml:space="preserve"> the crisis through framing. </w:t>
      </w:r>
      <w:r>
        <w:rPr>
          <w:i/>
          <w:iCs/>
        </w:rPr>
        <w:t>Policy and Society</w:t>
      </w:r>
      <w:r>
        <w:t xml:space="preserve">, </w:t>
      </w:r>
      <w:r>
        <w:rPr>
          <w:i/>
          <w:iCs/>
        </w:rPr>
        <w:t>45</w:t>
      </w:r>
      <w:r>
        <w:t xml:space="preserve">(1), 58–70. </w:t>
      </w:r>
      <w:hyperlink r:id="rId13" w:history="1">
        <w:r>
          <w:rPr>
            <w:rStyle w:val="Hyperlink"/>
          </w:rPr>
          <w:t>https://doi.org/10.1093/polsoc/puaf043</w:t>
        </w:r>
      </w:hyperlink>
    </w:p>
    <w:p w14:paraId="3EB55BE8" w14:textId="77777777" w:rsidR="005566B7" w:rsidRDefault="005566B7" w:rsidP="005566B7">
      <w:pPr>
        <w:spacing w:line="276" w:lineRule="auto"/>
        <w:ind w:hanging="480"/>
      </w:pPr>
      <w:r>
        <w:t xml:space="preserve">Braun, V., &amp; Clarke, V. (2006). Using thematic analysis in psychology. </w:t>
      </w:r>
      <w:r>
        <w:rPr>
          <w:i/>
          <w:iCs/>
        </w:rPr>
        <w:t>Qualitative Research in Psychology</w:t>
      </w:r>
      <w:r>
        <w:t xml:space="preserve">, </w:t>
      </w:r>
      <w:r>
        <w:rPr>
          <w:i/>
          <w:iCs/>
        </w:rPr>
        <w:t>3</w:t>
      </w:r>
      <w:r>
        <w:t xml:space="preserve">(2), 77–101. </w:t>
      </w:r>
      <w:hyperlink r:id="rId14" w:history="1">
        <w:r>
          <w:rPr>
            <w:rStyle w:val="Hyperlink"/>
          </w:rPr>
          <w:t>https://doi.org/10.1191/1478088706qp063oa</w:t>
        </w:r>
      </w:hyperlink>
    </w:p>
    <w:p w14:paraId="4E93ABEC" w14:textId="77777777" w:rsidR="005566B7" w:rsidRDefault="005566B7" w:rsidP="005566B7">
      <w:pPr>
        <w:spacing w:line="276" w:lineRule="auto"/>
        <w:ind w:hanging="480"/>
      </w:pPr>
      <w:r>
        <w:t xml:space="preserve">Butler, J. (2024). </w:t>
      </w:r>
      <w:r>
        <w:rPr>
          <w:i/>
          <w:iCs/>
        </w:rPr>
        <w:t>Who’s afraid of gender?</w:t>
      </w:r>
      <w:r>
        <w:t xml:space="preserve"> Allen lane.</w:t>
      </w:r>
    </w:p>
    <w:p w14:paraId="12375202" w14:textId="77777777" w:rsidR="005566B7" w:rsidRDefault="005566B7" w:rsidP="005566B7">
      <w:pPr>
        <w:spacing w:line="276" w:lineRule="auto"/>
        <w:ind w:hanging="480"/>
      </w:pPr>
      <w:r>
        <w:t xml:space="preserve">Capano, G., Zittoun, P., &amp; </w:t>
      </w:r>
      <w:proofErr w:type="spellStart"/>
      <w:r>
        <w:t>Profeti</w:t>
      </w:r>
      <w:proofErr w:type="spellEnd"/>
      <w:r>
        <w:t xml:space="preserve">, S. (2026). The politics of governing crises: Three types of policymaking under uncertainty, urgency, and threat. </w:t>
      </w:r>
      <w:r>
        <w:rPr>
          <w:i/>
          <w:iCs/>
        </w:rPr>
        <w:t>Policy and Society</w:t>
      </w:r>
      <w:r>
        <w:t xml:space="preserve">, </w:t>
      </w:r>
      <w:r>
        <w:rPr>
          <w:i/>
          <w:iCs/>
        </w:rPr>
        <w:t>45</w:t>
      </w:r>
      <w:r>
        <w:t xml:space="preserve">(1), 1–13. </w:t>
      </w:r>
      <w:hyperlink r:id="rId15" w:history="1">
        <w:r>
          <w:rPr>
            <w:rStyle w:val="Hyperlink"/>
          </w:rPr>
          <w:t>https://doi.org/10.1093/polsoc/puaf044</w:t>
        </w:r>
      </w:hyperlink>
    </w:p>
    <w:p w14:paraId="6F51BEF6" w14:textId="77777777" w:rsidR="005566B7" w:rsidRDefault="005566B7" w:rsidP="005566B7">
      <w:pPr>
        <w:spacing w:line="276" w:lineRule="auto"/>
        <w:ind w:hanging="480"/>
      </w:pPr>
      <w:r>
        <w:t xml:space="preserve">Chambers, S., &amp; Kopstein, J. (2001). Bad Civil Society. </w:t>
      </w:r>
      <w:r>
        <w:rPr>
          <w:i/>
          <w:iCs/>
        </w:rPr>
        <w:t>Political Theory</w:t>
      </w:r>
      <w:r>
        <w:t xml:space="preserve">, </w:t>
      </w:r>
      <w:r>
        <w:rPr>
          <w:i/>
          <w:iCs/>
        </w:rPr>
        <w:t>29</w:t>
      </w:r>
      <w:r>
        <w:t xml:space="preserve">(6), 837–865. </w:t>
      </w:r>
      <w:hyperlink r:id="rId16" w:history="1">
        <w:r>
          <w:rPr>
            <w:rStyle w:val="Hyperlink"/>
          </w:rPr>
          <w:t>https://doi.org/10.1177/0090591701029006008</w:t>
        </w:r>
      </w:hyperlink>
    </w:p>
    <w:p w14:paraId="2E17D1F6" w14:textId="77777777" w:rsidR="005566B7" w:rsidRDefault="005566B7" w:rsidP="005566B7">
      <w:pPr>
        <w:spacing w:line="276" w:lineRule="auto"/>
        <w:ind w:hanging="480"/>
      </w:pPr>
      <w:r>
        <w:t xml:space="preserve">Channell-Justice, E. (2023). Responses to dispossession. In C. </w:t>
      </w:r>
      <w:proofErr w:type="spellStart"/>
      <w:r>
        <w:t>Wanner</w:t>
      </w:r>
      <w:proofErr w:type="spellEnd"/>
      <w:r>
        <w:t xml:space="preserve">, </w:t>
      </w:r>
      <w:r>
        <w:rPr>
          <w:i/>
          <w:iCs/>
        </w:rPr>
        <w:t>Dispossession</w:t>
      </w:r>
      <w:r>
        <w:t xml:space="preserve"> (1st ed., pp. 188–207). Routledge. </w:t>
      </w:r>
      <w:hyperlink r:id="rId17" w:history="1">
        <w:r>
          <w:rPr>
            <w:rStyle w:val="Hyperlink"/>
          </w:rPr>
          <w:t>https://doi.org/10.4324/9781003382607-12</w:t>
        </w:r>
      </w:hyperlink>
    </w:p>
    <w:p w14:paraId="62DEA81A" w14:textId="77777777" w:rsidR="005566B7" w:rsidRDefault="005566B7" w:rsidP="005566B7">
      <w:pPr>
        <w:spacing w:line="276" w:lineRule="auto"/>
        <w:ind w:hanging="480"/>
      </w:pPr>
      <w:r>
        <w:t xml:space="preserve">Clarke, V., &amp; Braun, V. (2017). Thematic analysis. </w:t>
      </w:r>
      <w:r>
        <w:rPr>
          <w:i/>
          <w:iCs/>
        </w:rPr>
        <w:t>The Journal of Positive Psychology</w:t>
      </w:r>
      <w:r>
        <w:t xml:space="preserve">, </w:t>
      </w:r>
      <w:r>
        <w:rPr>
          <w:i/>
          <w:iCs/>
        </w:rPr>
        <w:t>12</w:t>
      </w:r>
      <w:r>
        <w:t xml:space="preserve">(3), 297–298. </w:t>
      </w:r>
      <w:hyperlink r:id="rId18" w:history="1">
        <w:r>
          <w:rPr>
            <w:rStyle w:val="Hyperlink"/>
          </w:rPr>
          <w:t>https://doi.org/10.1080/17439760.2016.1262613</w:t>
        </w:r>
      </w:hyperlink>
    </w:p>
    <w:p w14:paraId="12E3D034" w14:textId="77777777" w:rsidR="005566B7" w:rsidRDefault="005566B7" w:rsidP="005566B7">
      <w:pPr>
        <w:spacing w:line="276" w:lineRule="auto"/>
        <w:ind w:hanging="480"/>
      </w:pPr>
      <w:r>
        <w:t xml:space="preserve">Crotty, J., &amp; </w:t>
      </w:r>
      <w:proofErr w:type="spellStart"/>
      <w:r>
        <w:t>Ljubownikow</w:t>
      </w:r>
      <w:proofErr w:type="spellEnd"/>
      <w:r>
        <w:t xml:space="preserve">, S. (2024). Adapting to survive or thrive? Civil society, the third sector and social movements in ‘post-Soviet’ spaces: an introduction to the themed section. </w:t>
      </w:r>
      <w:r>
        <w:rPr>
          <w:i/>
          <w:iCs/>
        </w:rPr>
        <w:t>Voluntary Sector Review</w:t>
      </w:r>
      <w:r>
        <w:t xml:space="preserve">, </w:t>
      </w:r>
      <w:r>
        <w:rPr>
          <w:i/>
          <w:iCs/>
        </w:rPr>
        <w:t>15</w:t>
      </w:r>
      <w:r>
        <w:t xml:space="preserve">(1), 3–11. </w:t>
      </w:r>
      <w:hyperlink r:id="rId19" w:history="1">
        <w:r>
          <w:rPr>
            <w:rStyle w:val="Hyperlink"/>
          </w:rPr>
          <w:t>https://doi.org/10.1332/20408056y2023d000000010</w:t>
        </w:r>
      </w:hyperlink>
    </w:p>
    <w:p w14:paraId="48B71DCD" w14:textId="77777777" w:rsidR="005566B7" w:rsidRDefault="005566B7" w:rsidP="005566B7">
      <w:pPr>
        <w:spacing w:line="276" w:lineRule="auto"/>
        <w:ind w:hanging="480"/>
      </w:pPr>
      <w:r>
        <w:t xml:space="preserve">Duffield, M. (2019). Post-Humanitarianism. </w:t>
      </w:r>
      <w:r>
        <w:rPr>
          <w:i/>
          <w:iCs/>
        </w:rPr>
        <w:t>Journal of Humanitarian Affairs</w:t>
      </w:r>
      <w:r>
        <w:t xml:space="preserve">, </w:t>
      </w:r>
      <w:r>
        <w:rPr>
          <w:i/>
          <w:iCs/>
        </w:rPr>
        <w:t>1</w:t>
      </w:r>
      <w:r>
        <w:t xml:space="preserve">(1), 15–27. </w:t>
      </w:r>
      <w:hyperlink r:id="rId20" w:history="1">
        <w:r>
          <w:rPr>
            <w:rStyle w:val="Hyperlink"/>
          </w:rPr>
          <w:t>https://doi.org/10.7227/JHA.003</w:t>
        </w:r>
      </w:hyperlink>
    </w:p>
    <w:p w14:paraId="33FF232E" w14:textId="77777777" w:rsidR="005566B7" w:rsidRDefault="005566B7" w:rsidP="005566B7">
      <w:pPr>
        <w:spacing w:line="276" w:lineRule="auto"/>
        <w:ind w:hanging="480"/>
      </w:pPr>
      <w:r>
        <w:t xml:space="preserve">Fleetwood, S. (2005). Ontology in Organization and Management Studies: A Critical Realist Perspective. </w:t>
      </w:r>
      <w:r>
        <w:rPr>
          <w:i/>
          <w:iCs/>
        </w:rPr>
        <w:t>Organization</w:t>
      </w:r>
      <w:r>
        <w:t xml:space="preserve">, </w:t>
      </w:r>
      <w:r>
        <w:rPr>
          <w:i/>
          <w:iCs/>
        </w:rPr>
        <w:t>12</w:t>
      </w:r>
      <w:r>
        <w:t xml:space="preserve">(2), 197–222. </w:t>
      </w:r>
      <w:hyperlink r:id="rId21" w:history="1">
        <w:r>
          <w:rPr>
            <w:rStyle w:val="Hyperlink"/>
          </w:rPr>
          <w:t>https://doi.org/10.1177/1350508405051188</w:t>
        </w:r>
      </w:hyperlink>
    </w:p>
    <w:p w14:paraId="5DF57027" w14:textId="77777777" w:rsidR="005566B7" w:rsidRDefault="005566B7" w:rsidP="005566B7">
      <w:pPr>
        <w:spacing w:line="276" w:lineRule="auto"/>
        <w:ind w:hanging="480"/>
      </w:pPr>
      <w:r>
        <w:t xml:space="preserve">Fletcher, A. J. (2017). Applying critical realism in qualitative research: Methodology meets method. </w:t>
      </w:r>
      <w:r>
        <w:rPr>
          <w:i/>
          <w:iCs/>
        </w:rPr>
        <w:t>International Journal of Social Research Methodology</w:t>
      </w:r>
      <w:r>
        <w:t xml:space="preserve">, </w:t>
      </w:r>
      <w:r>
        <w:rPr>
          <w:i/>
          <w:iCs/>
        </w:rPr>
        <w:t>20</w:t>
      </w:r>
      <w:r>
        <w:t xml:space="preserve">(2), 181–194. </w:t>
      </w:r>
      <w:hyperlink r:id="rId22" w:history="1">
        <w:r>
          <w:rPr>
            <w:rStyle w:val="Hyperlink"/>
          </w:rPr>
          <w:t>https://doi.org/10.1080/13645579.2016.1144401</w:t>
        </w:r>
      </w:hyperlink>
    </w:p>
    <w:p w14:paraId="2BDC7D35" w14:textId="77777777" w:rsidR="005566B7" w:rsidRDefault="005566B7" w:rsidP="005566B7">
      <w:pPr>
        <w:spacing w:line="276" w:lineRule="auto"/>
        <w:ind w:hanging="480"/>
      </w:pPr>
      <w:r>
        <w:lastRenderedPageBreak/>
        <w:t xml:space="preserve">Foa, R. S., &amp; Ekiert, G. (2017). The weakness of </w:t>
      </w:r>
      <w:proofErr w:type="spellStart"/>
      <w:r>
        <w:t>postcommunist</w:t>
      </w:r>
      <w:proofErr w:type="spellEnd"/>
      <w:r>
        <w:t xml:space="preserve"> civil society reassessed. </w:t>
      </w:r>
      <w:r>
        <w:rPr>
          <w:i/>
          <w:iCs/>
        </w:rPr>
        <w:t>European Journal of Political Research</w:t>
      </w:r>
      <w:r>
        <w:t xml:space="preserve">, </w:t>
      </w:r>
      <w:r>
        <w:rPr>
          <w:i/>
          <w:iCs/>
        </w:rPr>
        <w:t>56</w:t>
      </w:r>
      <w:r>
        <w:t xml:space="preserve">(2), 419–439. </w:t>
      </w:r>
      <w:hyperlink r:id="rId23" w:history="1">
        <w:r>
          <w:rPr>
            <w:rStyle w:val="Hyperlink"/>
          </w:rPr>
          <w:t>https://doi.org/10.1111/1475-6765.12182</w:t>
        </w:r>
      </w:hyperlink>
    </w:p>
    <w:p w14:paraId="44BC2974" w14:textId="77777777" w:rsidR="005566B7" w:rsidRDefault="005566B7" w:rsidP="005566B7">
      <w:pPr>
        <w:spacing w:line="276" w:lineRule="auto"/>
        <w:ind w:hanging="480"/>
      </w:pPr>
      <w:r>
        <w:t xml:space="preserve">Fryer, T. (2022). A critical realist approach to thematic analysis: Producing causal explanations. </w:t>
      </w:r>
      <w:r>
        <w:rPr>
          <w:i/>
          <w:iCs/>
        </w:rPr>
        <w:t>Journal of Critical Realism</w:t>
      </w:r>
      <w:r>
        <w:t xml:space="preserve">, </w:t>
      </w:r>
      <w:r>
        <w:rPr>
          <w:i/>
          <w:iCs/>
        </w:rPr>
        <w:t>21</w:t>
      </w:r>
      <w:r>
        <w:t xml:space="preserve">(4), 365–384. </w:t>
      </w:r>
      <w:hyperlink r:id="rId24" w:history="1">
        <w:r>
          <w:rPr>
            <w:rStyle w:val="Hyperlink"/>
          </w:rPr>
          <w:t>https://doi.org/10.1080/14767430.2022.2076776</w:t>
        </w:r>
      </w:hyperlink>
    </w:p>
    <w:p w14:paraId="018F20C2" w14:textId="77777777" w:rsidR="005566B7" w:rsidRDefault="005566B7" w:rsidP="005566B7">
      <w:pPr>
        <w:spacing w:line="276" w:lineRule="auto"/>
        <w:ind w:hanging="480"/>
      </w:pPr>
      <w:r>
        <w:t xml:space="preserve">Gatskova, K., &amp; Gatskov, M. (2016). Third Sector in Ukraine: Civic Engagement Before and After the “Euromaidan.” </w:t>
      </w:r>
      <w:r>
        <w:rPr>
          <w:i/>
          <w:iCs/>
        </w:rPr>
        <w:t>VOLUNTAS: International Journal of Voluntary and Nonprofit Organizations</w:t>
      </w:r>
      <w:r>
        <w:t xml:space="preserve">, </w:t>
      </w:r>
      <w:r>
        <w:rPr>
          <w:i/>
          <w:iCs/>
        </w:rPr>
        <w:t>27</w:t>
      </w:r>
      <w:r>
        <w:t xml:space="preserve">(2), 673–694. </w:t>
      </w:r>
      <w:hyperlink r:id="rId25" w:history="1">
        <w:r>
          <w:rPr>
            <w:rStyle w:val="Hyperlink"/>
          </w:rPr>
          <w:t>https://doi.org/10.1007/s11266-015-9626-7</w:t>
        </w:r>
      </w:hyperlink>
    </w:p>
    <w:p w14:paraId="6AE86F3E" w14:textId="77777777" w:rsidR="005566B7" w:rsidRDefault="005566B7" w:rsidP="005566B7">
      <w:pPr>
        <w:spacing w:line="276" w:lineRule="auto"/>
        <w:ind w:hanging="480"/>
      </w:pPr>
      <w:r>
        <w:t xml:space="preserve">Habermas, J., Rehg, W., &amp; Habermas, J. (2015). </w:t>
      </w:r>
      <w:r>
        <w:rPr>
          <w:i/>
          <w:iCs/>
        </w:rPr>
        <w:t>Between facts and norms: Contributions to a discourse theory of law and democracy</w:t>
      </w:r>
      <w:r>
        <w:t xml:space="preserve"> (Reprinted). Polity Press.</w:t>
      </w:r>
    </w:p>
    <w:p w14:paraId="72008346" w14:textId="77777777" w:rsidR="005566B7" w:rsidRDefault="005566B7" w:rsidP="005566B7">
      <w:pPr>
        <w:spacing w:line="276" w:lineRule="auto"/>
        <w:ind w:hanging="480"/>
      </w:pPr>
      <w:r>
        <w:t xml:space="preserve">Harb, J. I. (2025). Mechanisms of invisibility: The contradictions of localising and decolonising humanitarian aid. </w:t>
      </w:r>
      <w:r>
        <w:rPr>
          <w:i/>
          <w:iCs/>
        </w:rPr>
        <w:t>Third World Quarterly</w:t>
      </w:r>
      <w:r>
        <w:t xml:space="preserve">, </w:t>
      </w:r>
      <w:r>
        <w:rPr>
          <w:i/>
          <w:iCs/>
        </w:rPr>
        <w:t>46</w:t>
      </w:r>
      <w:r>
        <w:t xml:space="preserve">(7), 737–754. </w:t>
      </w:r>
      <w:hyperlink r:id="rId26" w:history="1">
        <w:r>
          <w:rPr>
            <w:rStyle w:val="Hyperlink"/>
          </w:rPr>
          <w:t>https://doi.org/10.1080/01436597.2025.2509575</w:t>
        </w:r>
      </w:hyperlink>
    </w:p>
    <w:p w14:paraId="18B91370" w14:textId="77777777" w:rsidR="005566B7" w:rsidRDefault="005566B7" w:rsidP="005566B7">
      <w:pPr>
        <w:spacing w:line="276" w:lineRule="auto"/>
        <w:ind w:hanging="480"/>
      </w:pPr>
      <w:r>
        <w:t xml:space="preserve">Hart, G. (2010). D/developments after the Meltdown. </w:t>
      </w:r>
      <w:r>
        <w:rPr>
          <w:i/>
          <w:iCs/>
        </w:rPr>
        <w:t>Antipode</w:t>
      </w:r>
      <w:r>
        <w:t xml:space="preserve">, </w:t>
      </w:r>
      <w:r>
        <w:rPr>
          <w:i/>
          <w:iCs/>
        </w:rPr>
        <w:t>41</w:t>
      </w:r>
      <w:r>
        <w:t xml:space="preserve">(s1), 117–141. </w:t>
      </w:r>
      <w:hyperlink r:id="rId27" w:history="1">
        <w:r>
          <w:rPr>
            <w:rStyle w:val="Hyperlink"/>
          </w:rPr>
          <w:t>https://doi.org/10.1111/j.1467-8330.2009.00719.x</w:t>
        </w:r>
      </w:hyperlink>
    </w:p>
    <w:p w14:paraId="0F2B5EAC" w14:textId="77777777" w:rsidR="005566B7" w:rsidRDefault="005566B7" w:rsidP="005566B7">
      <w:pPr>
        <w:spacing w:line="276" w:lineRule="auto"/>
        <w:ind w:hanging="480"/>
      </w:pPr>
      <w:r>
        <w:t xml:space="preserve">Howard, M. M. (2008). </w:t>
      </w:r>
      <w:r>
        <w:rPr>
          <w:i/>
          <w:iCs/>
        </w:rPr>
        <w:t>The weakness of civil society in post-communist Europe</w:t>
      </w:r>
      <w:r>
        <w:t xml:space="preserve"> (Reprint). Cambridge University Press.</w:t>
      </w:r>
    </w:p>
    <w:p w14:paraId="0DDB9BB1" w14:textId="77777777" w:rsidR="005566B7" w:rsidRDefault="005566B7" w:rsidP="005566B7">
      <w:pPr>
        <w:spacing w:line="276" w:lineRule="auto"/>
        <w:ind w:hanging="480"/>
      </w:pPr>
      <w:r>
        <w:t xml:space="preserve">IDMC. (2026). </w:t>
      </w:r>
      <w:r>
        <w:rPr>
          <w:i/>
          <w:iCs/>
        </w:rPr>
        <w:t>2026 Global Report on Internal Displacement</w:t>
      </w:r>
      <w:r>
        <w:t xml:space="preserve">. Internal Displacement Monitoring Centre. </w:t>
      </w:r>
      <w:hyperlink r:id="rId28" w:history="1">
        <w:r>
          <w:rPr>
            <w:rStyle w:val="Hyperlink"/>
          </w:rPr>
          <w:t>https://doi.org/10.55363/IDMC.ETWG8973</w:t>
        </w:r>
      </w:hyperlink>
    </w:p>
    <w:p w14:paraId="3CF09969" w14:textId="77777777" w:rsidR="005566B7" w:rsidRDefault="005566B7" w:rsidP="005566B7">
      <w:pPr>
        <w:spacing w:line="276" w:lineRule="auto"/>
        <w:ind w:hanging="480"/>
      </w:pPr>
      <w:proofErr w:type="spellStart"/>
      <w:r>
        <w:t>Ippolitova</w:t>
      </w:r>
      <w:proofErr w:type="spellEnd"/>
      <w:r>
        <w:t xml:space="preserve">, I., </w:t>
      </w:r>
      <w:proofErr w:type="spellStart"/>
      <w:r>
        <w:t>Okhrimenko</w:t>
      </w:r>
      <w:proofErr w:type="spellEnd"/>
      <w:r>
        <w:t xml:space="preserve">, I., </w:t>
      </w:r>
      <w:proofErr w:type="spellStart"/>
      <w:r>
        <w:t>Kolesnichenko</w:t>
      </w:r>
      <w:proofErr w:type="spellEnd"/>
      <w:r>
        <w:t xml:space="preserve">, N., Levchenko, Y., </w:t>
      </w:r>
      <w:proofErr w:type="spellStart"/>
      <w:r>
        <w:t>Khovrak</w:t>
      </w:r>
      <w:proofErr w:type="spellEnd"/>
      <w:r>
        <w:t xml:space="preserve">, O., </w:t>
      </w:r>
      <w:proofErr w:type="spellStart"/>
      <w:r>
        <w:t>Koshutska</w:t>
      </w:r>
      <w:proofErr w:type="spellEnd"/>
      <w:r>
        <w:t xml:space="preserve">, M., &amp; </w:t>
      </w:r>
      <w:proofErr w:type="spellStart"/>
      <w:r>
        <w:t>Vyshlinsky</w:t>
      </w:r>
      <w:proofErr w:type="spellEnd"/>
      <w:r>
        <w:t xml:space="preserve">, H. (2026). </w:t>
      </w:r>
      <w:r>
        <w:rPr>
          <w:i/>
          <w:iCs/>
        </w:rPr>
        <w:t>UKRAINIAN REFUGEES.  FIFTH WAVE OF RESEARCH</w:t>
      </w:r>
      <w:r>
        <w:t xml:space="preserve"> (5). Centre for Economic Strategy. </w:t>
      </w:r>
      <w:hyperlink r:id="rId29" w:history="1">
        <w:r>
          <w:rPr>
            <w:rStyle w:val="Hyperlink"/>
          </w:rPr>
          <w:t>https://ces.org.ua/en/ukrainian-refugees-fifth-wave/</w:t>
        </w:r>
      </w:hyperlink>
    </w:p>
    <w:p w14:paraId="753A2F40" w14:textId="77777777" w:rsidR="005566B7" w:rsidRDefault="005566B7" w:rsidP="005566B7">
      <w:pPr>
        <w:spacing w:line="276" w:lineRule="auto"/>
        <w:ind w:hanging="480"/>
      </w:pPr>
      <w:r>
        <w:t xml:space="preserve">Jäger, A. (2026). </w:t>
      </w:r>
      <w:proofErr w:type="spellStart"/>
      <w:r>
        <w:rPr>
          <w:i/>
          <w:iCs/>
        </w:rPr>
        <w:t>Hyperpolitics</w:t>
      </w:r>
      <w:proofErr w:type="spellEnd"/>
      <w:r>
        <w:rPr>
          <w:i/>
          <w:iCs/>
        </w:rPr>
        <w:t>: Extreme politicization without political consequences</w:t>
      </w:r>
      <w:r>
        <w:t xml:space="preserve"> (This revised </w:t>
      </w:r>
      <w:proofErr w:type="spellStart"/>
      <w:r>
        <w:t>english</w:t>
      </w:r>
      <w:proofErr w:type="spellEnd"/>
      <w:r>
        <w:t>-language edition first published by Verso). Verso.</w:t>
      </w:r>
    </w:p>
    <w:p w14:paraId="5433AFD9" w14:textId="77777777" w:rsidR="005566B7" w:rsidRDefault="005566B7" w:rsidP="005566B7">
      <w:pPr>
        <w:spacing w:line="276" w:lineRule="auto"/>
        <w:ind w:hanging="480"/>
      </w:pPr>
      <w:proofErr w:type="spellStart"/>
      <w:r>
        <w:t>Kankanyan</w:t>
      </w:r>
      <w:proofErr w:type="spellEnd"/>
      <w:r>
        <w:t xml:space="preserve">, N. (2025). Growing Civil Society in Post-Soviet States: Does Money Help? </w:t>
      </w:r>
      <w:r>
        <w:rPr>
          <w:i/>
          <w:iCs/>
        </w:rPr>
        <w:t>VOLUNTAS: International Journal of Voluntary and Nonprofit Organizations</w:t>
      </w:r>
      <w:r>
        <w:t xml:space="preserve">, </w:t>
      </w:r>
      <w:r>
        <w:rPr>
          <w:i/>
          <w:iCs/>
        </w:rPr>
        <w:t>36</w:t>
      </w:r>
      <w:r>
        <w:t xml:space="preserve">(2), 267–280. </w:t>
      </w:r>
      <w:hyperlink r:id="rId30" w:history="1">
        <w:r>
          <w:rPr>
            <w:rStyle w:val="Hyperlink"/>
          </w:rPr>
          <w:t>https://doi.org/10.1007/s11266-024-00715-x</w:t>
        </w:r>
      </w:hyperlink>
    </w:p>
    <w:p w14:paraId="5DEDEC93" w14:textId="77777777" w:rsidR="005566B7" w:rsidRDefault="005566B7" w:rsidP="005566B7">
      <w:pPr>
        <w:spacing w:line="276" w:lineRule="auto"/>
        <w:ind w:hanging="480"/>
      </w:pPr>
      <w:r>
        <w:t xml:space="preserve">Koch, D.-J., &amp; </w:t>
      </w:r>
      <w:proofErr w:type="spellStart"/>
      <w:r>
        <w:t>Rooden</w:t>
      </w:r>
      <w:proofErr w:type="spellEnd"/>
      <w:r>
        <w:t xml:space="preserve">, A. (2024). Understanding and addressing the unintended effects of aid localisation. </w:t>
      </w:r>
      <w:r>
        <w:rPr>
          <w:i/>
          <w:iCs/>
        </w:rPr>
        <w:t>Development in Practice</w:t>
      </w:r>
      <w:r>
        <w:t xml:space="preserve">, </w:t>
      </w:r>
      <w:r>
        <w:rPr>
          <w:i/>
          <w:iCs/>
        </w:rPr>
        <w:t>34</w:t>
      </w:r>
      <w:r>
        <w:t xml:space="preserve">(3), 351–363. </w:t>
      </w:r>
      <w:hyperlink r:id="rId31" w:history="1">
        <w:r>
          <w:rPr>
            <w:rStyle w:val="Hyperlink"/>
          </w:rPr>
          <w:t>https://doi.org/10.1080/09614524.2024.2303666</w:t>
        </w:r>
      </w:hyperlink>
    </w:p>
    <w:p w14:paraId="0B99ADF4" w14:textId="77777777" w:rsidR="005566B7" w:rsidRDefault="005566B7" w:rsidP="005566B7">
      <w:pPr>
        <w:spacing w:line="276" w:lineRule="auto"/>
        <w:ind w:hanging="480"/>
      </w:pPr>
      <w:proofErr w:type="spellStart"/>
      <w:r>
        <w:t>Korolczuk</w:t>
      </w:r>
      <w:proofErr w:type="spellEnd"/>
      <w:r>
        <w:t xml:space="preserve">, E., Graff, A., &amp; Kantola, J. (2025). Gender danger. Mapping a decade of research on anti-gender politics. </w:t>
      </w:r>
      <w:r>
        <w:rPr>
          <w:i/>
          <w:iCs/>
        </w:rPr>
        <w:t>Journal of Gender Studies</w:t>
      </w:r>
      <w:r>
        <w:t xml:space="preserve">, </w:t>
      </w:r>
      <w:r>
        <w:rPr>
          <w:i/>
          <w:iCs/>
        </w:rPr>
        <w:t>34</w:t>
      </w:r>
      <w:r>
        <w:t xml:space="preserve">(5), 621–640. </w:t>
      </w:r>
      <w:hyperlink r:id="rId32" w:history="1">
        <w:r>
          <w:rPr>
            <w:rStyle w:val="Hyperlink"/>
          </w:rPr>
          <w:t>https://doi.org/10.1080/09589236.2025.2489584</w:t>
        </w:r>
      </w:hyperlink>
    </w:p>
    <w:p w14:paraId="21B3285C" w14:textId="77777777" w:rsidR="005566B7" w:rsidRDefault="005566B7" w:rsidP="005566B7">
      <w:pPr>
        <w:spacing w:line="276" w:lineRule="auto"/>
        <w:ind w:hanging="480"/>
      </w:pPr>
      <w:proofErr w:type="spellStart"/>
      <w:r>
        <w:lastRenderedPageBreak/>
        <w:t>Krasynska</w:t>
      </w:r>
      <w:proofErr w:type="spellEnd"/>
      <w:r>
        <w:t xml:space="preserve">, S., &amp; Martin, E. (2017). The Formality of Informal Civil Society: Ukraine’s EuroMaidan. </w:t>
      </w:r>
      <w:r>
        <w:rPr>
          <w:i/>
          <w:iCs/>
        </w:rPr>
        <w:t>VOLUNTAS: International Journal of Voluntary and Nonprofit Organizations</w:t>
      </w:r>
      <w:r>
        <w:t xml:space="preserve">, </w:t>
      </w:r>
      <w:r>
        <w:rPr>
          <w:i/>
          <w:iCs/>
        </w:rPr>
        <w:t>28</w:t>
      </w:r>
      <w:r>
        <w:t xml:space="preserve">(1), 420–449. </w:t>
      </w:r>
      <w:hyperlink r:id="rId33" w:history="1">
        <w:r>
          <w:rPr>
            <w:rStyle w:val="Hyperlink"/>
          </w:rPr>
          <w:t>https://doi.org/10.1007/s11266-016-9819-8</w:t>
        </w:r>
      </w:hyperlink>
    </w:p>
    <w:p w14:paraId="7120062B" w14:textId="77777777" w:rsidR="005566B7" w:rsidRDefault="005566B7" w:rsidP="005566B7">
      <w:pPr>
        <w:spacing w:line="276" w:lineRule="auto"/>
        <w:ind w:hanging="480"/>
      </w:pPr>
      <w:r>
        <w:t xml:space="preserve">Kratochvíl, P., &amp; O’Sullivan, M. (2023). A war like no other: Russia’s invasion of Ukraine as a war on gender order. </w:t>
      </w:r>
      <w:r>
        <w:rPr>
          <w:i/>
          <w:iCs/>
        </w:rPr>
        <w:t>European Security</w:t>
      </w:r>
      <w:r>
        <w:t xml:space="preserve">, </w:t>
      </w:r>
      <w:r>
        <w:rPr>
          <w:i/>
          <w:iCs/>
        </w:rPr>
        <w:t>32</w:t>
      </w:r>
      <w:r>
        <w:t xml:space="preserve">(3), 347–366. </w:t>
      </w:r>
      <w:hyperlink r:id="rId34" w:history="1">
        <w:r>
          <w:rPr>
            <w:rStyle w:val="Hyperlink"/>
          </w:rPr>
          <w:t>https://doi.org/10.1080/09662839.2023.2236951</w:t>
        </w:r>
      </w:hyperlink>
    </w:p>
    <w:p w14:paraId="74999B06" w14:textId="77777777" w:rsidR="005566B7" w:rsidRDefault="005566B7" w:rsidP="005566B7">
      <w:pPr>
        <w:spacing w:line="276" w:lineRule="auto"/>
        <w:ind w:hanging="480"/>
      </w:pPr>
      <w:proofErr w:type="spellStart"/>
      <w:r>
        <w:t>Lipset</w:t>
      </w:r>
      <w:proofErr w:type="spellEnd"/>
      <w:r>
        <w:t xml:space="preserve">, S. M. (1959). Some Social Requisites of Democracy: Economic Development and Political Legitimacy. </w:t>
      </w:r>
      <w:r>
        <w:rPr>
          <w:i/>
          <w:iCs/>
        </w:rPr>
        <w:t>American Political Science Review</w:t>
      </w:r>
      <w:r>
        <w:t xml:space="preserve">, </w:t>
      </w:r>
      <w:r>
        <w:rPr>
          <w:i/>
          <w:iCs/>
        </w:rPr>
        <w:t>53</w:t>
      </w:r>
      <w:r>
        <w:t xml:space="preserve">(1), 69–105. </w:t>
      </w:r>
      <w:hyperlink r:id="rId35" w:history="1">
        <w:r>
          <w:rPr>
            <w:rStyle w:val="Hyperlink"/>
          </w:rPr>
          <w:t>https://doi.org/10.2307/1951731</w:t>
        </w:r>
      </w:hyperlink>
    </w:p>
    <w:p w14:paraId="43DD3BAD" w14:textId="77777777" w:rsidR="005566B7" w:rsidRDefault="005566B7" w:rsidP="005566B7">
      <w:pPr>
        <w:spacing w:line="276" w:lineRule="auto"/>
        <w:ind w:hanging="480"/>
      </w:pPr>
      <w:r>
        <w:t xml:space="preserve">Marta, R. (2025). Permanent uncertainty and social vulnerability in contemporary risk society. </w:t>
      </w:r>
      <w:r>
        <w:rPr>
          <w:i/>
          <w:iCs/>
        </w:rPr>
        <w:t>Discover Global Society</w:t>
      </w:r>
      <w:r>
        <w:t xml:space="preserve">, </w:t>
      </w:r>
      <w:r>
        <w:rPr>
          <w:i/>
          <w:iCs/>
        </w:rPr>
        <w:t>3</w:t>
      </w:r>
      <w:r>
        <w:t xml:space="preserve">(1), 124. </w:t>
      </w:r>
      <w:hyperlink r:id="rId36" w:history="1">
        <w:r>
          <w:rPr>
            <w:rStyle w:val="Hyperlink"/>
          </w:rPr>
          <w:t>https://doi.org/10.1007/s44282-025-00277-3</w:t>
        </w:r>
      </w:hyperlink>
    </w:p>
    <w:p w14:paraId="1947377D" w14:textId="77777777" w:rsidR="005566B7" w:rsidRDefault="005566B7" w:rsidP="005566B7">
      <w:pPr>
        <w:spacing w:line="276" w:lineRule="auto"/>
        <w:ind w:hanging="480"/>
      </w:pPr>
      <w:r>
        <w:t xml:space="preserve">McGandy, M., Murphy, S. P., &amp; Paterson, R. (2025). Assemblage Thinking and Methodological Reorientation in Development Studies. </w:t>
      </w:r>
      <w:r>
        <w:rPr>
          <w:i/>
          <w:iCs/>
        </w:rPr>
        <w:t>Turkish Journal of International Development</w:t>
      </w:r>
      <w:r>
        <w:t xml:space="preserve">, </w:t>
      </w:r>
      <w:r>
        <w:rPr>
          <w:i/>
          <w:iCs/>
        </w:rPr>
        <w:t>1</w:t>
      </w:r>
      <w:r>
        <w:t xml:space="preserve">(2), 7–36. </w:t>
      </w:r>
      <w:hyperlink r:id="rId37" w:history="1">
        <w:r>
          <w:rPr>
            <w:rStyle w:val="Hyperlink"/>
          </w:rPr>
          <w:t>https://doi.org/10.55888/TUJID.2025.18</w:t>
        </w:r>
      </w:hyperlink>
    </w:p>
    <w:p w14:paraId="5C286F81" w14:textId="77777777" w:rsidR="005566B7" w:rsidRDefault="005566B7" w:rsidP="005566B7">
      <w:pPr>
        <w:spacing w:line="276" w:lineRule="auto"/>
        <w:ind w:hanging="480"/>
      </w:pPr>
      <w:r>
        <w:t xml:space="preserve">Meyer, M., Moder, C., Neumayr, M., &amp; Vandor, P. (2020). Civil Society and Its Institutional Context in CEE. </w:t>
      </w:r>
      <w:r>
        <w:rPr>
          <w:i/>
          <w:iCs/>
        </w:rPr>
        <w:t>VOLUNTAS: International Journal of Voluntary and Nonprofit Organizations</w:t>
      </w:r>
      <w:r>
        <w:t xml:space="preserve">, </w:t>
      </w:r>
      <w:r>
        <w:rPr>
          <w:i/>
          <w:iCs/>
        </w:rPr>
        <w:t>31</w:t>
      </w:r>
      <w:r>
        <w:t xml:space="preserve">(4), 811–827. </w:t>
      </w:r>
      <w:hyperlink r:id="rId38" w:history="1">
        <w:r>
          <w:rPr>
            <w:rStyle w:val="Hyperlink"/>
          </w:rPr>
          <w:t>https://doi.org/10.1007/s11266-019-00106-7</w:t>
        </w:r>
      </w:hyperlink>
    </w:p>
    <w:p w14:paraId="164A9171" w14:textId="77777777" w:rsidR="005566B7" w:rsidRDefault="005566B7" w:rsidP="005566B7">
      <w:pPr>
        <w:spacing w:line="276" w:lineRule="auto"/>
        <w:ind w:hanging="480"/>
      </w:pPr>
      <w:r>
        <w:t xml:space="preserve">Mikheieva, O., &amp; Kuznetsova, I. (2024). War-time volunteering and population displacement: From spontaneous help to organised volunteering in post-2014 Ukraine. </w:t>
      </w:r>
      <w:r>
        <w:rPr>
          <w:i/>
          <w:iCs/>
        </w:rPr>
        <w:t>Voluntary Sector Review</w:t>
      </w:r>
      <w:r>
        <w:t xml:space="preserve">, </w:t>
      </w:r>
      <w:r>
        <w:rPr>
          <w:i/>
          <w:iCs/>
        </w:rPr>
        <w:t>15</w:t>
      </w:r>
      <w:r>
        <w:t xml:space="preserve">(1), 74–91. </w:t>
      </w:r>
      <w:hyperlink r:id="rId39" w:history="1">
        <w:r>
          <w:rPr>
            <w:rStyle w:val="Hyperlink"/>
          </w:rPr>
          <w:t>https://doi.org/10.1332/20408056y2023d000000009</w:t>
        </w:r>
      </w:hyperlink>
    </w:p>
    <w:p w14:paraId="45BA4CE7" w14:textId="77777777" w:rsidR="005566B7" w:rsidRDefault="005566B7" w:rsidP="005566B7">
      <w:pPr>
        <w:spacing w:line="276" w:lineRule="auto"/>
        <w:ind w:hanging="480"/>
      </w:pPr>
      <w:r>
        <w:t xml:space="preserve">Mudde, C., &amp; Kopecký, P. (Eds.). (2003). </w:t>
      </w:r>
      <w:r>
        <w:rPr>
          <w:i/>
          <w:iCs/>
        </w:rPr>
        <w:t>Uncivil society? Contentious politics in post-communist Europe</w:t>
      </w:r>
      <w:r>
        <w:t xml:space="preserve">. Routledge. </w:t>
      </w:r>
      <w:hyperlink r:id="rId40" w:history="1">
        <w:r>
          <w:rPr>
            <w:rStyle w:val="Hyperlink"/>
          </w:rPr>
          <w:t>https://www.researchgate.net/profile/Petr-Kopecky-3/publication/47379659_Uncivil_Society_Contentious_Politics_in_Post-Communist_Europe/links/5409bfda0cf2d8daaabed9ea/Uncivil-Society-Contentious-Politics-in-Post-Communist-Europe.pdf</w:t>
        </w:r>
      </w:hyperlink>
    </w:p>
    <w:p w14:paraId="1725243E" w14:textId="77777777" w:rsidR="005566B7" w:rsidRDefault="005566B7" w:rsidP="005566B7">
      <w:pPr>
        <w:spacing w:line="276" w:lineRule="auto"/>
        <w:ind w:hanging="480"/>
      </w:pPr>
      <w:r>
        <w:t xml:space="preserve">Murphy, S. P., &amp; Paterson, R. (2026). Change and transformation in international development cooperation: Assemblage thinking, transdisciplinary research design and the curious case of localisation. In P. Coughlan, S. M. Cannon, &amp; D. Coghlan (Eds.), </w:t>
      </w:r>
      <w:r>
        <w:rPr>
          <w:i/>
          <w:iCs/>
        </w:rPr>
        <w:t>How to Organise Transdisciplinary Research for Transformative Action and Knowledge Co-Production</w:t>
      </w:r>
      <w:r>
        <w:t xml:space="preserve"> (pp. 169–184). Edward Elgar Publishing. </w:t>
      </w:r>
      <w:hyperlink r:id="rId41" w:history="1">
        <w:r>
          <w:rPr>
            <w:rStyle w:val="Hyperlink"/>
          </w:rPr>
          <w:t>https://doi.org/10.4337/9781035346554.00024</w:t>
        </w:r>
      </w:hyperlink>
    </w:p>
    <w:p w14:paraId="06EC2EB3" w14:textId="77777777" w:rsidR="005566B7" w:rsidRDefault="005566B7" w:rsidP="005566B7">
      <w:pPr>
        <w:spacing w:line="276" w:lineRule="auto"/>
        <w:ind w:hanging="480"/>
      </w:pPr>
      <w:proofErr w:type="spellStart"/>
      <w:r>
        <w:t>Otrishchenko</w:t>
      </w:r>
      <w:proofErr w:type="spellEnd"/>
      <w:r>
        <w:t xml:space="preserve">, N. (2023). The time that was taken from us. In C. </w:t>
      </w:r>
      <w:proofErr w:type="spellStart"/>
      <w:r>
        <w:t>Wanner</w:t>
      </w:r>
      <w:proofErr w:type="spellEnd"/>
      <w:r>
        <w:t xml:space="preserve">, </w:t>
      </w:r>
      <w:r>
        <w:rPr>
          <w:i/>
          <w:iCs/>
        </w:rPr>
        <w:t>Dispossession</w:t>
      </w:r>
      <w:r>
        <w:t xml:space="preserve"> (1st ed., pp. 25–44). Routledge. </w:t>
      </w:r>
      <w:hyperlink r:id="rId42" w:history="1">
        <w:r>
          <w:rPr>
            <w:rStyle w:val="Hyperlink"/>
          </w:rPr>
          <w:t>https://doi.org/10.4324/9781003382607-3</w:t>
        </w:r>
      </w:hyperlink>
    </w:p>
    <w:p w14:paraId="2DC84A24" w14:textId="77777777" w:rsidR="005566B7" w:rsidRDefault="005566B7" w:rsidP="005566B7">
      <w:pPr>
        <w:spacing w:line="276" w:lineRule="auto"/>
        <w:ind w:hanging="480"/>
      </w:pPr>
      <w:proofErr w:type="spellStart"/>
      <w:r>
        <w:t>Polanska</w:t>
      </w:r>
      <w:proofErr w:type="spellEnd"/>
      <w:r>
        <w:t xml:space="preserve">, D. V., </w:t>
      </w:r>
      <w:proofErr w:type="spellStart"/>
      <w:r>
        <w:t>Pixová</w:t>
      </w:r>
      <w:proofErr w:type="spellEnd"/>
      <w:r>
        <w:t xml:space="preserve">, M., &amp; Bródy, L. S. (2026). Rethinking Conceptualizations of Civil Societies in and beyond Post-Socialist Contexts. </w:t>
      </w:r>
      <w:proofErr w:type="spellStart"/>
      <w:r>
        <w:rPr>
          <w:i/>
          <w:iCs/>
        </w:rPr>
        <w:t>Voluntas</w:t>
      </w:r>
      <w:proofErr w:type="spellEnd"/>
      <w:r>
        <w:rPr>
          <w:i/>
          <w:iCs/>
        </w:rPr>
        <w:t xml:space="preserve">: International Journal of </w:t>
      </w:r>
      <w:r>
        <w:rPr>
          <w:i/>
          <w:iCs/>
        </w:rPr>
        <w:lastRenderedPageBreak/>
        <w:t>Voluntary and Nonprofit Organizations</w:t>
      </w:r>
      <w:r>
        <w:t xml:space="preserve">, 1–8. </w:t>
      </w:r>
      <w:hyperlink r:id="rId43" w:history="1">
        <w:r>
          <w:rPr>
            <w:rStyle w:val="Hyperlink"/>
          </w:rPr>
          <w:t>https://doi.org/10.1017/S0957876526000070</w:t>
        </w:r>
      </w:hyperlink>
    </w:p>
    <w:p w14:paraId="77D11AFF" w14:textId="77777777" w:rsidR="005566B7" w:rsidRDefault="005566B7" w:rsidP="005566B7">
      <w:pPr>
        <w:spacing w:line="276" w:lineRule="auto"/>
        <w:ind w:hanging="480"/>
      </w:pPr>
      <w:proofErr w:type="spellStart"/>
      <w:r>
        <w:t>Profeti</w:t>
      </w:r>
      <w:proofErr w:type="spellEnd"/>
      <w:r>
        <w:t xml:space="preserve">, S., &amp; Toth, F. (2026). Not one crisis, but many. The “crisis cube” and the politics of governing crises. </w:t>
      </w:r>
      <w:r>
        <w:rPr>
          <w:i/>
          <w:iCs/>
        </w:rPr>
        <w:t>Policy and Society</w:t>
      </w:r>
      <w:r>
        <w:t xml:space="preserve">, </w:t>
      </w:r>
      <w:r>
        <w:rPr>
          <w:i/>
          <w:iCs/>
        </w:rPr>
        <w:t>45</w:t>
      </w:r>
      <w:r>
        <w:t xml:space="preserve">(1), 33–45. </w:t>
      </w:r>
      <w:hyperlink r:id="rId44" w:history="1">
        <w:r>
          <w:rPr>
            <w:rStyle w:val="Hyperlink"/>
          </w:rPr>
          <w:t>https://doi.org/10.1093/polsoc/puaf037</w:t>
        </w:r>
      </w:hyperlink>
    </w:p>
    <w:p w14:paraId="2C059343" w14:textId="77777777" w:rsidR="005566B7" w:rsidRDefault="005566B7" w:rsidP="005566B7">
      <w:pPr>
        <w:spacing w:line="276" w:lineRule="auto"/>
        <w:ind w:hanging="480"/>
      </w:pPr>
      <w:r>
        <w:t xml:space="preserve">Putnam, R. D. (1994). Social Capital and Public Affairs. </w:t>
      </w:r>
      <w:r>
        <w:rPr>
          <w:i/>
          <w:iCs/>
        </w:rPr>
        <w:t>Bulletin of the American Academy of Arts and Sciences</w:t>
      </w:r>
      <w:r>
        <w:t xml:space="preserve">, </w:t>
      </w:r>
      <w:r>
        <w:rPr>
          <w:i/>
          <w:iCs/>
        </w:rPr>
        <w:t>47</w:t>
      </w:r>
      <w:r>
        <w:t xml:space="preserve">(8), 5. </w:t>
      </w:r>
      <w:hyperlink r:id="rId45" w:history="1">
        <w:r>
          <w:rPr>
            <w:rStyle w:val="Hyperlink"/>
          </w:rPr>
          <w:t>https://doi.org/10.2307/3824796</w:t>
        </w:r>
      </w:hyperlink>
    </w:p>
    <w:p w14:paraId="6CEF3718" w14:textId="77777777" w:rsidR="005566B7" w:rsidRDefault="005566B7" w:rsidP="005566B7">
      <w:pPr>
        <w:spacing w:line="276" w:lineRule="auto"/>
        <w:ind w:hanging="480"/>
      </w:pPr>
      <w:r>
        <w:t xml:space="preserve">Radice, H. (2022). Humanitarianism as civic practice? Humanity, politics and humanitarian activism. </w:t>
      </w:r>
      <w:r>
        <w:rPr>
          <w:i/>
          <w:iCs/>
        </w:rPr>
        <w:t>Journal of Civil Society</w:t>
      </w:r>
      <w:r>
        <w:t xml:space="preserve">, </w:t>
      </w:r>
      <w:r>
        <w:rPr>
          <w:i/>
          <w:iCs/>
        </w:rPr>
        <w:t>18</w:t>
      </w:r>
      <w:r>
        <w:t xml:space="preserve">(2), 142–160. </w:t>
      </w:r>
      <w:hyperlink r:id="rId46" w:history="1">
        <w:r>
          <w:rPr>
            <w:rStyle w:val="Hyperlink"/>
          </w:rPr>
          <w:t>https://doi.org/10.1080/17448689.2022.2121296</w:t>
        </w:r>
      </w:hyperlink>
    </w:p>
    <w:p w14:paraId="3021980B" w14:textId="77777777" w:rsidR="005566B7" w:rsidRDefault="005566B7" w:rsidP="005566B7">
      <w:pPr>
        <w:spacing w:line="276" w:lineRule="auto"/>
        <w:ind w:hanging="480"/>
      </w:pPr>
      <w:r>
        <w:t xml:space="preserve">Salamon, L., &amp; </w:t>
      </w:r>
      <w:proofErr w:type="spellStart"/>
      <w:r>
        <w:t>Anheier</w:t>
      </w:r>
      <w:proofErr w:type="spellEnd"/>
      <w:r>
        <w:t xml:space="preserve">, H. (1998). Social origins of civil society: Explaining the nonprofit sector cross-nationally. </w:t>
      </w:r>
      <w:proofErr w:type="spellStart"/>
      <w:r>
        <w:rPr>
          <w:i/>
          <w:iCs/>
        </w:rPr>
        <w:t>Voluntas</w:t>
      </w:r>
      <w:proofErr w:type="spellEnd"/>
      <w:r>
        <w:rPr>
          <w:i/>
          <w:iCs/>
        </w:rPr>
        <w:t>: International Journal of Voluntary and Nonprofit Organizations</w:t>
      </w:r>
      <w:r>
        <w:t xml:space="preserve">, </w:t>
      </w:r>
      <w:r>
        <w:rPr>
          <w:i/>
          <w:iCs/>
        </w:rPr>
        <w:t>9</w:t>
      </w:r>
      <w:r>
        <w:t>, 213–248.</w:t>
      </w:r>
    </w:p>
    <w:p w14:paraId="13D2AF72" w14:textId="77777777" w:rsidR="005566B7" w:rsidRDefault="005566B7" w:rsidP="005566B7">
      <w:pPr>
        <w:spacing w:line="276" w:lineRule="auto"/>
        <w:ind w:hanging="480"/>
      </w:pPr>
      <w:r>
        <w:t>Shevtsova, M. (2020). Fighting “</w:t>
      </w:r>
      <w:proofErr w:type="spellStart"/>
      <w:r>
        <w:t>Gayropa</w:t>
      </w:r>
      <w:proofErr w:type="spellEnd"/>
      <w:r>
        <w:t xml:space="preserve">”: Europeanization and Instrumentalization of LGBTI Rights in Ukrainian Public Debate. </w:t>
      </w:r>
      <w:r>
        <w:rPr>
          <w:i/>
          <w:iCs/>
        </w:rPr>
        <w:t xml:space="preserve">Problems of </w:t>
      </w:r>
      <w:proofErr w:type="gramStart"/>
      <w:r>
        <w:rPr>
          <w:i/>
          <w:iCs/>
        </w:rPr>
        <w:t>Post-Communism</w:t>
      </w:r>
      <w:proofErr w:type="gramEnd"/>
      <w:r>
        <w:t xml:space="preserve">, </w:t>
      </w:r>
      <w:r>
        <w:rPr>
          <w:i/>
          <w:iCs/>
        </w:rPr>
        <w:t>67</w:t>
      </w:r>
      <w:r>
        <w:t xml:space="preserve">(6), 500–510. </w:t>
      </w:r>
      <w:hyperlink r:id="rId47" w:history="1">
        <w:r>
          <w:rPr>
            <w:rStyle w:val="Hyperlink"/>
          </w:rPr>
          <w:t>https://doi.org/10.1080/10758216.2020.1716807</w:t>
        </w:r>
      </w:hyperlink>
    </w:p>
    <w:p w14:paraId="14A16CE7" w14:textId="77777777" w:rsidR="005566B7" w:rsidRDefault="005566B7" w:rsidP="005566B7">
      <w:pPr>
        <w:spacing w:line="276" w:lineRule="auto"/>
        <w:ind w:hanging="480"/>
      </w:pPr>
      <w:r>
        <w:t xml:space="preserve">Shevtsova, M. (2023a). “A Country Where Everyone Feels Free?” The Georgian Orthodox Church, Political Homophobia and Europeanization of LGBTIQ Rights in Georgia. </w:t>
      </w:r>
      <w:r>
        <w:rPr>
          <w:i/>
          <w:iCs/>
        </w:rPr>
        <w:t>Sexuality &amp; Culture</w:t>
      </w:r>
      <w:r>
        <w:t xml:space="preserve">, </w:t>
      </w:r>
      <w:r>
        <w:rPr>
          <w:i/>
          <w:iCs/>
        </w:rPr>
        <w:t>27</w:t>
      </w:r>
      <w:r>
        <w:t xml:space="preserve">(6), 2065–2083. </w:t>
      </w:r>
      <w:hyperlink r:id="rId48" w:history="1">
        <w:r>
          <w:rPr>
            <w:rStyle w:val="Hyperlink"/>
          </w:rPr>
          <w:t>https://doi.org/10.1007/s12119-023-10153-4</w:t>
        </w:r>
      </w:hyperlink>
    </w:p>
    <w:p w14:paraId="0FDB8E25" w14:textId="77777777" w:rsidR="005566B7" w:rsidRDefault="005566B7" w:rsidP="005566B7">
      <w:pPr>
        <w:spacing w:line="276" w:lineRule="auto"/>
        <w:ind w:hanging="480"/>
      </w:pPr>
      <w:r>
        <w:t xml:space="preserve">Shevtsova, M. (2023b). Resisting “Liberal Values.” </w:t>
      </w:r>
      <w:r>
        <w:rPr>
          <w:i/>
          <w:iCs/>
        </w:rPr>
        <w:t>ACME: An International Journal for Critical Geographies</w:t>
      </w:r>
      <w:r>
        <w:t xml:space="preserve">, </w:t>
      </w:r>
      <w:r>
        <w:rPr>
          <w:i/>
          <w:iCs/>
        </w:rPr>
        <w:t>Vol. 22 No. 3</w:t>
      </w:r>
      <w:r>
        <w:t xml:space="preserve">, 1025-1046 Pages. </w:t>
      </w:r>
      <w:hyperlink r:id="rId49" w:history="1">
        <w:r>
          <w:rPr>
            <w:rStyle w:val="Hyperlink"/>
          </w:rPr>
          <w:t>https://doi.org/10.14288/ACME.V22I3.2180</w:t>
        </w:r>
      </w:hyperlink>
    </w:p>
    <w:p w14:paraId="74E8EC11" w14:textId="77777777" w:rsidR="005566B7" w:rsidRDefault="005566B7" w:rsidP="005566B7">
      <w:pPr>
        <w:spacing w:line="276" w:lineRule="auto"/>
        <w:ind w:hanging="480"/>
      </w:pPr>
      <w:r>
        <w:t xml:space="preserve">Stepanenko, V. (2006). Civil Society in Post-Soviet Ukraine: Civic Ethos in the Framework of Corrupted Sociality? </w:t>
      </w:r>
      <w:r>
        <w:rPr>
          <w:i/>
          <w:iCs/>
        </w:rPr>
        <w:t>East European Politics and Societies: And Cultures</w:t>
      </w:r>
      <w:r>
        <w:t xml:space="preserve">, </w:t>
      </w:r>
      <w:r>
        <w:rPr>
          <w:i/>
          <w:iCs/>
        </w:rPr>
        <w:t>20</w:t>
      </w:r>
      <w:r>
        <w:t xml:space="preserve">(4), 571–597. </w:t>
      </w:r>
      <w:hyperlink r:id="rId50" w:history="1">
        <w:r>
          <w:rPr>
            <w:rStyle w:val="Hyperlink"/>
          </w:rPr>
          <w:t>https://doi.org/10.1177/0888325406293292</w:t>
        </w:r>
      </w:hyperlink>
    </w:p>
    <w:p w14:paraId="26B54515" w14:textId="77777777" w:rsidR="005566B7" w:rsidRDefault="005566B7" w:rsidP="005566B7">
      <w:pPr>
        <w:spacing w:line="276" w:lineRule="auto"/>
        <w:ind w:hanging="480"/>
      </w:pPr>
      <w:r>
        <w:t xml:space="preserve">Stepanenko, V., &amp; Stewart, S. (2025). ‘Who, if not us?’: Civic activism and defence in wartime Ukraine. </w:t>
      </w:r>
      <w:r>
        <w:rPr>
          <w:i/>
          <w:iCs/>
        </w:rPr>
        <w:t>Innovation: The European Journal of Social Science Research</w:t>
      </w:r>
      <w:r>
        <w:t xml:space="preserve">, </w:t>
      </w:r>
      <w:r>
        <w:rPr>
          <w:i/>
          <w:iCs/>
        </w:rPr>
        <w:t>38</w:t>
      </w:r>
      <w:r>
        <w:t xml:space="preserve">(1), 152–168. Scopus. </w:t>
      </w:r>
      <w:hyperlink r:id="rId51" w:history="1">
        <w:r>
          <w:rPr>
            <w:rStyle w:val="Hyperlink"/>
          </w:rPr>
          <w:t>https://doi.org/10.1080/13511610.2025.2467214</w:t>
        </w:r>
      </w:hyperlink>
    </w:p>
    <w:p w14:paraId="132808AE" w14:textId="77777777" w:rsidR="005566B7" w:rsidRDefault="005566B7" w:rsidP="005566B7">
      <w:pPr>
        <w:spacing w:line="276" w:lineRule="auto"/>
        <w:ind w:hanging="480"/>
      </w:pPr>
      <w:r>
        <w:t xml:space="preserve">Sum, N.-L. (2018). Towards a cultural political economy: Staging an encounter between Marx, Gramsci and Foucault. </w:t>
      </w:r>
      <w:r>
        <w:rPr>
          <w:i/>
          <w:iCs/>
        </w:rPr>
        <w:t>ПОЛИТЕИА</w:t>
      </w:r>
      <w:r>
        <w:t xml:space="preserve">, </w:t>
      </w:r>
      <w:r>
        <w:rPr>
          <w:i/>
          <w:iCs/>
        </w:rPr>
        <w:t>8</w:t>
      </w:r>
      <w:r>
        <w:t xml:space="preserve">(16), 39–56. </w:t>
      </w:r>
      <w:hyperlink r:id="rId52" w:history="1">
        <w:r>
          <w:rPr>
            <w:rStyle w:val="Hyperlink"/>
          </w:rPr>
          <w:t>https://doi.org/10.5937/politeia0-20022</w:t>
        </w:r>
      </w:hyperlink>
    </w:p>
    <w:p w14:paraId="01E1AAB8" w14:textId="77777777" w:rsidR="005566B7" w:rsidRDefault="005566B7" w:rsidP="005566B7">
      <w:pPr>
        <w:spacing w:line="276" w:lineRule="auto"/>
        <w:ind w:hanging="480"/>
      </w:pPr>
      <w:r>
        <w:t xml:space="preserve">Trump, D. (2025, January 20). </w:t>
      </w:r>
      <w:r>
        <w:rPr>
          <w:i/>
          <w:iCs/>
        </w:rPr>
        <w:t>REEVALUATING AND REALIGNING UNITED STATES FOREIGN AID</w:t>
      </w:r>
      <w:r>
        <w:t xml:space="preserve"> [Executive Order]. The White House. </w:t>
      </w:r>
      <w:hyperlink r:id="rId53" w:history="1">
        <w:r>
          <w:rPr>
            <w:rStyle w:val="Hyperlink"/>
          </w:rPr>
          <w:t>https://www.whitehouse.gov/presidential-actions/2025/01/reevaluating-and-realigning-united-states-foreign-aid/</w:t>
        </w:r>
      </w:hyperlink>
    </w:p>
    <w:p w14:paraId="495F0E77" w14:textId="77777777" w:rsidR="005566B7" w:rsidRDefault="005566B7" w:rsidP="005566B7">
      <w:pPr>
        <w:spacing w:line="276" w:lineRule="auto"/>
        <w:ind w:hanging="480"/>
      </w:pPr>
      <w:r>
        <w:lastRenderedPageBreak/>
        <w:t xml:space="preserve">UN OCHA. (2026). </w:t>
      </w:r>
      <w:r>
        <w:rPr>
          <w:i/>
          <w:iCs/>
        </w:rPr>
        <w:t>Ukraine Humanitarian Action Needs Analysis</w:t>
      </w:r>
      <w:r>
        <w:t xml:space="preserve">. </w:t>
      </w:r>
      <w:hyperlink r:id="rId54" w:history="1">
        <w:r>
          <w:rPr>
            <w:rStyle w:val="Hyperlink"/>
          </w:rPr>
          <w:t>https://humanitarianaction.info/plan/1515</w:t>
        </w:r>
      </w:hyperlink>
    </w:p>
    <w:p w14:paraId="5EBAB8DB" w14:textId="77777777" w:rsidR="005566B7" w:rsidRDefault="005566B7" w:rsidP="005566B7">
      <w:pPr>
        <w:spacing w:line="276" w:lineRule="auto"/>
        <w:ind w:hanging="480"/>
      </w:pPr>
      <w:r>
        <w:t xml:space="preserve">UNDP. (2024). </w:t>
      </w:r>
      <w:r>
        <w:rPr>
          <w:i/>
          <w:iCs/>
        </w:rPr>
        <w:t>Social Cohesion in Ukraine: KEY TRENDS BASED ON RESCORE 2024 WITH COMPARATIVE INSIGHTS FROM RESCORE 2023 AND SCORE 2021</w:t>
      </w:r>
      <w:r>
        <w:t xml:space="preserve">. </w:t>
      </w:r>
      <w:hyperlink r:id="rId55" w:history="1">
        <w:r>
          <w:rPr>
            <w:rStyle w:val="Hyperlink"/>
          </w:rPr>
          <w:t>https://www.undp.org/ukraine/publications/social-cohesion-ukraine-key-trends-based-rescore-2024</w:t>
        </w:r>
      </w:hyperlink>
    </w:p>
    <w:p w14:paraId="3C52A14B" w14:textId="77777777" w:rsidR="005566B7" w:rsidRDefault="005566B7" w:rsidP="005566B7">
      <w:pPr>
        <w:spacing w:line="276" w:lineRule="auto"/>
        <w:ind w:hanging="480"/>
      </w:pPr>
      <w:r>
        <w:t xml:space="preserve">UNDP. (2025). </w:t>
      </w:r>
      <w:r>
        <w:rPr>
          <w:i/>
          <w:iCs/>
        </w:rPr>
        <w:t>UNITED NATIONS DEVELOPMENT PROGRAMME IN UKRAINE: Supporting Ukraine’s Vision: Transparent, Inclusive, and Sustainable Development</w:t>
      </w:r>
      <w:r>
        <w:t xml:space="preserve">. </w:t>
      </w:r>
      <w:hyperlink r:id="rId56" w:history="1">
        <w:r>
          <w:rPr>
            <w:rStyle w:val="Hyperlink"/>
          </w:rPr>
          <w:t>https://www.undp.org/ukraine/publications/undp-supporting-ukraines-vision-transparent-inclusive-and-sustainable-development</w:t>
        </w:r>
      </w:hyperlink>
    </w:p>
    <w:p w14:paraId="49029E20" w14:textId="77777777" w:rsidR="005566B7" w:rsidRDefault="005566B7" w:rsidP="005566B7">
      <w:pPr>
        <w:spacing w:line="276" w:lineRule="auto"/>
        <w:ind w:hanging="480"/>
      </w:pPr>
      <w:proofErr w:type="spellStart"/>
      <w:r>
        <w:t>Wanner</w:t>
      </w:r>
      <w:proofErr w:type="spellEnd"/>
      <w:r>
        <w:t xml:space="preserve">, C. (Ed.). (2024). </w:t>
      </w:r>
      <w:r>
        <w:rPr>
          <w:i/>
          <w:iCs/>
        </w:rPr>
        <w:t>Dispossession: Anthropological Perspectives on Russia’s War Against Ukraine</w:t>
      </w:r>
      <w:r>
        <w:t>. Taylor &amp; Francis.</w:t>
      </w:r>
    </w:p>
    <w:p w14:paraId="04791057" w14:textId="77777777" w:rsidR="005566B7" w:rsidRDefault="005566B7" w:rsidP="005566B7">
      <w:pPr>
        <w:spacing w:line="276" w:lineRule="auto"/>
        <w:ind w:hanging="480"/>
      </w:pPr>
      <w:proofErr w:type="spellStart"/>
      <w:r>
        <w:t>Worschech</w:t>
      </w:r>
      <w:proofErr w:type="spellEnd"/>
      <w:r>
        <w:t xml:space="preserve">, S. (2017). New Civic Activism in Ukraine: Building Society from Scratch? </w:t>
      </w:r>
      <w:r>
        <w:rPr>
          <w:i/>
          <w:iCs/>
        </w:rPr>
        <w:t>Kyiv-Mohyla Law and Politics Journal</w:t>
      </w:r>
      <w:r>
        <w:t xml:space="preserve">, </w:t>
      </w:r>
      <w:r>
        <w:rPr>
          <w:i/>
          <w:iCs/>
        </w:rPr>
        <w:t>0</w:t>
      </w:r>
      <w:r>
        <w:t xml:space="preserve">(3), 23–45. </w:t>
      </w:r>
      <w:hyperlink r:id="rId57" w:history="1">
        <w:r>
          <w:rPr>
            <w:rStyle w:val="Hyperlink"/>
          </w:rPr>
          <w:t>https://doi.org/10.18523/kmlpj119984.2017-3.23-45</w:t>
        </w:r>
      </w:hyperlink>
    </w:p>
    <w:p w14:paraId="33747D7F" w14:textId="77777777" w:rsidR="005566B7" w:rsidRDefault="005566B7" w:rsidP="005566B7">
      <w:pPr>
        <w:spacing w:line="276" w:lineRule="auto"/>
        <w:ind w:hanging="480"/>
      </w:pPr>
      <w:r>
        <w:t xml:space="preserve">Yutilova, K., Shved, E., </w:t>
      </w:r>
      <w:proofErr w:type="spellStart"/>
      <w:r>
        <w:t>Rozantsev</w:t>
      </w:r>
      <w:proofErr w:type="spellEnd"/>
      <w:r>
        <w:t xml:space="preserve">, G., &amp; Adamski, A. (2025). Russia–Ukraine war impacts on environment: Warfare chemical pollution and recovery prospects. </w:t>
      </w:r>
      <w:r>
        <w:rPr>
          <w:i/>
          <w:iCs/>
        </w:rPr>
        <w:t>Environmental Science and Pollution Research</w:t>
      </w:r>
      <w:r>
        <w:t xml:space="preserve">, </w:t>
      </w:r>
      <w:r>
        <w:rPr>
          <w:i/>
          <w:iCs/>
        </w:rPr>
        <w:t>32</w:t>
      </w:r>
      <w:r>
        <w:t xml:space="preserve">(10), 5685–5702. </w:t>
      </w:r>
      <w:hyperlink r:id="rId58" w:history="1">
        <w:r>
          <w:rPr>
            <w:rStyle w:val="Hyperlink"/>
          </w:rPr>
          <w:t>https://doi.org/10.1007/s11356-025-36098-9</w:t>
        </w:r>
      </w:hyperlink>
    </w:p>
    <w:p w14:paraId="16FF4B34" w14:textId="77777777" w:rsidR="005566B7" w:rsidRDefault="005566B7" w:rsidP="005566B7">
      <w:pPr>
        <w:spacing w:line="276" w:lineRule="auto"/>
        <w:ind w:hanging="480"/>
      </w:pPr>
      <w:r>
        <w:t xml:space="preserve">Zarembo, K., &amp; Martin, E. (2024). Civil society and sense of community in Ukraine: From dormancy to action. </w:t>
      </w:r>
      <w:r>
        <w:rPr>
          <w:i/>
          <w:iCs/>
        </w:rPr>
        <w:t>European Societies</w:t>
      </w:r>
      <w:r>
        <w:t xml:space="preserve">, </w:t>
      </w:r>
      <w:r>
        <w:rPr>
          <w:i/>
          <w:iCs/>
        </w:rPr>
        <w:t>26</w:t>
      </w:r>
      <w:r>
        <w:t xml:space="preserve">(2), 203–229. </w:t>
      </w:r>
      <w:hyperlink r:id="rId59" w:history="1">
        <w:r>
          <w:rPr>
            <w:rStyle w:val="Hyperlink"/>
          </w:rPr>
          <w:t>https://doi.org/10.1080/14616696.2023.2185652</w:t>
        </w:r>
      </w:hyperlink>
    </w:p>
    <w:p w14:paraId="5E8A11EC" w14:textId="77777777" w:rsidR="00374387" w:rsidRDefault="00374387" w:rsidP="005566B7">
      <w:pPr>
        <w:spacing w:line="276" w:lineRule="auto"/>
        <w:jc w:val="both"/>
      </w:pPr>
    </w:p>
    <w:p w14:paraId="74445ACB" w14:textId="77777777" w:rsidR="00245624" w:rsidRDefault="00245624" w:rsidP="005566B7">
      <w:pPr>
        <w:spacing w:line="276" w:lineRule="auto"/>
      </w:pPr>
    </w:p>
    <w:sectPr w:rsidR="00245624">
      <w:footerReference w:type="default" r:id="rId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D7F1A" w14:textId="77777777" w:rsidR="008662DD" w:rsidRDefault="008662DD" w:rsidP="00E90F81">
      <w:pPr>
        <w:spacing w:after="0" w:line="240" w:lineRule="auto"/>
      </w:pPr>
      <w:r>
        <w:separator/>
      </w:r>
    </w:p>
  </w:endnote>
  <w:endnote w:type="continuationSeparator" w:id="0">
    <w:p w14:paraId="67A7AD93" w14:textId="77777777" w:rsidR="008662DD" w:rsidRDefault="008662DD" w:rsidP="00E90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314239"/>
      <w:docPartObj>
        <w:docPartGallery w:val="Page Numbers (Bottom of Page)"/>
        <w:docPartUnique/>
      </w:docPartObj>
    </w:sdtPr>
    <w:sdtEndPr>
      <w:rPr>
        <w:noProof/>
      </w:rPr>
    </w:sdtEndPr>
    <w:sdtContent>
      <w:p w14:paraId="1088ADB2" w14:textId="4777E270" w:rsidR="000C2897" w:rsidRDefault="000C28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86E23D" w14:textId="77777777" w:rsidR="000C2897" w:rsidRDefault="000C2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C8F9" w14:textId="77777777" w:rsidR="008662DD" w:rsidRDefault="008662DD" w:rsidP="00E90F81">
      <w:pPr>
        <w:spacing w:after="0" w:line="240" w:lineRule="auto"/>
      </w:pPr>
      <w:r>
        <w:separator/>
      </w:r>
    </w:p>
  </w:footnote>
  <w:footnote w:type="continuationSeparator" w:id="0">
    <w:p w14:paraId="4BD40D31" w14:textId="77777777" w:rsidR="008662DD" w:rsidRDefault="008662DD" w:rsidP="00E90F81">
      <w:pPr>
        <w:spacing w:after="0" w:line="240" w:lineRule="auto"/>
      </w:pPr>
      <w:r>
        <w:continuationSeparator/>
      </w:r>
    </w:p>
  </w:footnote>
  <w:footnote w:id="1">
    <w:p w14:paraId="40E35B95" w14:textId="406DE607" w:rsidR="00E90F81" w:rsidRPr="00D00E20" w:rsidRDefault="00E90F81" w:rsidP="00E90F81">
      <w:pPr>
        <w:pStyle w:val="FootnoteText"/>
      </w:pPr>
      <w:r>
        <w:rPr>
          <w:rStyle w:val="FootnoteReference"/>
        </w:rPr>
        <w:footnoteRef/>
      </w:r>
      <w:r>
        <w:t xml:space="preserve"> This conference contribution has been drafted by Susan P. Murphy for the purposes of contributing to the EUROMEMO workshop </w:t>
      </w:r>
      <w:r w:rsidR="00FD40E6">
        <w:t>H</w:t>
      </w:r>
      <w:r>
        <w:t xml:space="preserve"> on </w:t>
      </w:r>
      <w:r w:rsidRPr="00533C10">
        <w:rPr>
          <w:i/>
          <w:iCs/>
        </w:rPr>
        <w:t>Alternatives</w:t>
      </w:r>
      <w:r>
        <w:t xml:space="preserve">. However, the final paper will be co-authored by the following team of researchers - </w:t>
      </w:r>
      <w:r w:rsidRPr="00D00E20">
        <w:t xml:space="preserve">Olha Shevchuk-Kliuzheva, Head of sector </w:t>
      </w:r>
      <w:r w:rsidRPr="00D00E20">
        <w:rPr>
          <w:lang w:val="en-US"/>
        </w:rPr>
        <w:t xml:space="preserve">- </w:t>
      </w:r>
      <w:r w:rsidRPr="00D00E20">
        <w:t>Advocacy projects coordination, Alliance of Ukrainian Civil Society Organisations</w:t>
      </w:r>
      <w:r>
        <w:t xml:space="preserve">; </w:t>
      </w:r>
      <w:r w:rsidRPr="00D00E20">
        <w:t>Maeve McGandy, Researcher, School of Natural Sciences (Geography), Trinity College Dublin</w:t>
      </w:r>
      <w:r>
        <w:t xml:space="preserve">; </w:t>
      </w:r>
      <w:r w:rsidRPr="00D00E20">
        <w:t>Ruby Paterson, PhD Scholar, School of Natural Sciences (Geography), Trinity College Dublin</w:t>
      </w:r>
      <w:r>
        <w:t xml:space="preserve">; </w:t>
      </w:r>
      <w:r w:rsidRPr="00D00E20">
        <w:t>Cynthia Mwende Maswili, Research Assistant, School of Natural Sciences (Geography), Trinity College Dublin</w:t>
      </w:r>
    </w:p>
    <w:p w14:paraId="6D3D42F6" w14:textId="77777777" w:rsidR="00E90F81" w:rsidRDefault="00E90F81" w:rsidP="00E90F8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F81"/>
    <w:rsid w:val="00024EA0"/>
    <w:rsid w:val="00097884"/>
    <w:rsid w:val="000C2897"/>
    <w:rsid w:val="00245624"/>
    <w:rsid w:val="0032000E"/>
    <w:rsid w:val="00374387"/>
    <w:rsid w:val="004B4401"/>
    <w:rsid w:val="005566B7"/>
    <w:rsid w:val="008662DD"/>
    <w:rsid w:val="00C47026"/>
    <w:rsid w:val="00D6763F"/>
    <w:rsid w:val="00E405DC"/>
    <w:rsid w:val="00E90F81"/>
    <w:rsid w:val="00FD40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03068"/>
  <w15:chartTrackingRefBased/>
  <w15:docId w15:val="{0FB29CCD-2A16-4052-9691-A2FB8D8E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F81"/>
  </w:style>
  <w:style w:type="paragraph" w:styleId="Heading1">
    <w:name w:val="heading 1"/>
    <w:basedOn w:val="Normal"/>
    <w:next w:val="Normal"/>
    <w:link w:val="Heading1Char"/>
    <w:uiPriority w:val="9"/>
    <w:qFormat/>
    <w:rsid w:val="00E90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F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F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F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F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F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F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F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F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F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F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F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F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F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F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F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F81"/>
    <w:rPr>
      <w:rFonts w:eastAsiaTheme="majorEastAsia" w:cstheme="majorBidi"/>
      <w:color w:val="272727" w:themeColor="text1" w:themeTint="D8"/>
    </w:rPr>
  </w:style>
  <w:style w:type="paragraph" w:styleId="Title">
    <w:name w:val="Title"/>
    <w:basedOn w:val="Normal"/>
    <w:next w:val="Normal"/>
    <w:link w:val="TitleChar"/>
    <w:uiPriority w:val="10"/>
    <w:qFormat/>
    <w:rsid w:val="00E90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F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F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F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F81"/>
    <w:pPr>
      <w:spacing w:before="160"/>
      <w:jc w:val="center"/>
    </w:pPr>
    <w:rPr>
      <w:i/>
      <w:iCs/>
      <w:color w:val="404040" w:themeColor="text1" w:themeTint="BF"/>
    </w:rPr>
  </w:style>
  <w:style w:type="character" w:customStyle="1" w:styleId="QuoteChar">
    <w:name w:val="Quote Char"/>
    <w:basedOn w:val="DefaultParagraphFont"/>
    <w:link w:val="Quote"/>
    <w:uiPriority w:val="29"/>
    <w:rsid w:val="00E90F81"/>
    <w:rPr>
      <w:i/>
      <w:iCs/>
      <w:color w:val="404040" w:themeColor="text1" w:themeTint="BF"/>
    </w:rPr>
  </w:style>
  <w:style w:type="paragraph" w:styleId="ListParagraph">
    <w:name w:val="List Paragraph"/>
    <w:basedOn w:val="Normal"/>
    <w:uiPriority w:val="34"/>
    <w:qFormat/>
    <w:rsid w:val="00E90F81"/>
    <w:pPr>
      <w:ind w:left="720"/>
      <w:contextualSpacing/>
    </w:pPr>
  </w:style>
  <w:style w:type="character" w:styleId="IntenseEmphasis">
    <w:name w:val="Intense Emphasis"/>
    <w:basedOn w:val="DefaultParagraphFont"/>
    <w:uiPriority w:val="21"/>
    <w:qFormat/>
    <w:rsid w:val="00E90F81"/>
    <w:rPr>
      <w:i/>
      <w:iCs/>
      <w:color w:val="0F4761" w:themeColor="accent1" w:themeShade="BF"/>
    </w:rPr>
  </w:style>
  <w:style w:type="paragraph" w:styleId="IntenseQuote">
    <w:name w:val="Intense Quote"/>
    <w:basedOn w:val="Normal"/>
    <w:next w:val="Normal"/>
    <w:link w:val="IntenseQuoteChar"/>
    <w:uiPriority w:val="30"/>
    <w:qFormat/>
    <w:rsid w:val="00E90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F81"/>
    <w:rPr>
      <w:i/>
      <w:iCs/>
      <w:color w:val="0F4761" w:themeColor="accent1" w:themeShade="BF"/>
    </w:rPr>
  </w:style>
  <w:style w:type="character" w:styleId="IntenseReference">
    <w:name w:val="Intense Reference"/>
    <w:basedOn w:val="DefaultParagraphFont"/>
    <w:uiPriority w:val="32"/>
    <w:qFormat/>
    <w:rsid w:val="00E90F81"/>
    <w:rPr>
      <w:b/>
      <w:bCs/>
      <w:smallCaps/>
      <w:color w:val="0F4761" w:themeColor="accent1" w:themeShade="BF"/>
      <w:spacing w:val="5"/>
    </w:rPr>
  </w:style>
  <w:style w:type="character" w:styleId="Hyperlink">
    <w:name w:val="Hyperlink"/>
    <w:basedOn w:val="DefaultParagraphFont"/>
    <w:uiPriority w:val="99"/>
    <w:unhideWhenUsed/>
    <w:rsid w:val="00E90F81"/>
    <w:rPr>
      <w:color w:val="467886" w:themeColor="hyperlink"/>
      <w:u w:val="single"/>
    </w:rPr>
  </w:style>
  <w:style w:type="paragraph" w:styleId="FootnoteText">
    <w:name w:val="footnote text"/>
    <w:basedOn w:val="Normal"/>
    <w:link w:val="FootnoteTextChar"/>
    <w:uiPriority w:val="99"/>
    <w:semiHidden/>
    <w:unhideWhenUsed/>
    <w:rsid w:val="00E90F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F81"/>
    <w:rPr>
      <w:sz w:val="20"/>
      <w:szCs w:val="20"/>
    </w:rPr>
  </w:style>
  <w:style w:type="character" w:styleId="FootnoteReference">
    <w:name w:val="footnote reference"/>
    <w:basedOn w:val="DefaultParagraphFont"/>
    <w:uiPriority w:val="99"/>
    <w:semiHidden/>
    <w:unhideWhenUsed/>
    <w:rsid w:val="00E90F81"/>
    <w:rPr>
      <w:vertAlign w:val="superscript"/>
    </w:rPr>
  </w:style>
  <w:style w:type="character" w:styleId="UnresolvedMention">
    <w:name w:val="Unresolved Mention"/>
    <w:basedOn w:val="DefaultParagraphFont"/>
    <w:uiPriority w:val="99"/>
    <w:semiHidden/>
    <w:unhideWhenUsed/>
    <w:rsid w:val="005566B7"/>
    <w:rPr>
      <w:color w:val="605E5C"/>
      <w:shd w:val="clear" w:color="auto" w:fill="E1DFDD"/>
    </w:rPr>
  </w:style>
  <w:style w:type="paragraph" w:styleId="Header">
    <w:name w:val="header"/>
    <w:basedOn w:val="Normal"/>
    <w:link w:val="HeaderChar"/>
    <w:uiPriority w:val="99"/>
    <w:unhideWhenUsed/>
    <w:rsid w:val="000C28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897"/>
  </w:style>
  <w:style w:type="paragraph" w:styleId="Footer">
    <w:name w:val="footer"/>
    <w:basedOn w:val="Normal"/>
    <w:link w:val="FooterChar"/>
    <w:uiPriority w:val="99"/>
    <w:unhideWhenUsed/>
    <w:rsid w:val="000C2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polsoc/puaf043" TargetMode="External"/><Relationship Id="rId18" Type="http://schemas.openxmlformats.org/officeDocument/2006/relationships/hyperlink" Target="https://doi.org/10.1080/17439760.2016.1262613" TargetMode="External"/><Relationship Id="rId26" Type="http://schemas.openxmlformats.org/officeDocument/2006/relationships/hyperlink" Target="https://doi.org/10.1080/01436597.2025.2509575" TargetMode="External"/><Relationship Id="rId39" Type="http://schemas.openxmlformats.org/officeDocument/2006/relationships/hyperlink" Target="https://doi.org/10.1332/20408056y2023d000000009" TargetMode="External"/><Relationship Id="rId21" Type="http://schemas.openxmlformats.org/officeDocument/2006/relationships/hyperlink" Target="https://doi.org/10.1177/1350508405051188" TargetMode="External"/><Relationship Id="rId34" Type="http://schemas.openxmlformats.org/officeDocument/2006/relationships/hyperlink" Target="https://doi.org/10.1080/09662839.2023.2236951" TargetMode="External"/><Relationship Id="rId42" Type="http://schemas.openxmlformats.org/officeDocument/2006/relationships/hyperlink" Target="https://doi.org/10.4324/9781003382607-3" TargetMode="External"/><Relationship Id="rId47" Type="http://schemas.openxmlformats.org/officeDocument/2006/relationships/hyperlink" Target="https://doi.org/10.1080/10758216.2020.1716807" TargetMode="External"/><Relationship Id="rId50" Type="http://schemas.openxmlformats.org/officeDocument/2006/relationships/hyperlink" Target="https://doi.org/10.1177/0888325406293292" TargetMode="External"/><Relationship Id="rId55" Type="http://schemas.openxmlformats.org/officeDocument/2006/relationships/hyperlink" Target="https://www.undp.org/ukraine/publications/social-cohesion-ukraine-key-trends-based-rescore-2024" TargetMode="External"/><Relationship Id="rId7" Type="http://schemas.openxmlformats.org/officeDocument/2006/relationships/hyperlink" Target="https://doi.org/10.4324/9781315008592" TargetMode="External"/><Relationship Id="rId2" Type="http://schemas.openxmlformats.org/officeDocument/2006/relationships/settings" Target="settings.xml"/><Relationship Id="rId16" Type="http://schemas.openxmlformats.org/officeDocument/2006/relationships/hyperlink" Target="https://doi.org/10.1177/0090591701029006008" TargetMode="External"/><Relationship Id="rId29" Type="http://schemas.openxmlformats.org/officeDocument/2006/relationships/hyperlink" Target="https://ces.org.ua/en/ukrainian-refugees-fifth-wave/" TargetMode="External"/><Relationship Id="rId11" Type="http://schemas.openxmlformats.org/officeDocument/2006/relationships/hyperlink" Target="https://www.csis.org/analysis/ensuring-ngo-accountability-reconstruction-and-humanitarian-relief-ukraine" TargetMode="External"/><Relationship Id="rId24" Type="http://schemas.openxmlformats.org/officeDocument/2006/relationships/hyperlink" Target="https://doi.org/10.1080/14767430.2022.2076776" TargetMode="External"/><Relationship Id="rId32" Type="http://schemas.openxmlformats.org/officeDocument/2006/relationships/hyperlink" Target="https://doi.org/10.1080/09589236.2025.2489584" TargetMode="External"/><Relationship Id="rId37" Type="http://schemas.openxmlformats.org/officeDocument/2006/relationships/hyperlink" Target="https://doi.org/10.55888/TUJID.2025.18" TargetMode="External"/><Relationship Id="rId40" Type="http://schemas.openxmlformats.org/officeDocument/2006/relationships/hyperlink" Target="https://www.researchgate.net/profile/Petr-Kopecky-3/publication/47379659_Uncivil_Society_Contentious_Politics_in_Post-Communist_Europe/links/5409bfda0cf2d8daaabed9ea/Uncivil-Society-Contentious-Politics-in-Post-Communist-Europe.pdf" TargetMode="External"/><Relationship Id="rId45" Type="http://schemas.openxmlformats.org/officeDocument/2006/relationships/hyperlink" Target="https://doi.org/10.2307/3824796" TargetMode="External"/><Relationship Id="rId53" Type="http://schemas.openxmlformats.org/officeDocument/2006/relationships/hyperlink" Target="https://www.whitehouse.gov/presidential-actions/2025/01/reevaluating-and-realigning-united-states-foreign-aid/" TargetMode="External"/><Relationship Id="rId58" Type="http://schemas.openxmlformats.org/officeDocument/2006/relationships/hyperlink" Target="https://doi.org/10.1007/s11356-025-36098-9" TargetMode="Externa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hyperlink" Target="https://doi.org/10.1332/20408056y2023d000000010" TargetMode="External"/><Relationship Id="rId14" Type="http://schemas.openxmlformats.org/officeDocument/2006/relationships/hyperlink" Target="https://doi.org/10.1191/1478088706qp063oa" TargetMode="External"/><Relationship Id="rId22" Type="http://schemas.openxmlformats.org/officeDocument/2006/relationships/hyperlink" Target="https://doi.org/10.1080/13645579.2016.1144401" TargetMode="External"/><Relationship Id="rId27" Type="http://schemas.openxmlformats.org/officeDocument/2006/relationships/hyperlink" Target="https://doi.org/10.1111/j.1467-8330.2009.00719.x" TargetMode="External"/><Relationship Id="rId30" Type="http://schemas.openxmlformats.org/officeDocument/2006/relationships/hyperlink" Target="https://doi.org/10.1007/s11266-024-00715-x" TargetMode="External"/><Relationship Id="rId35" Type="http://schemas.openxmlformats.org/officeDocument/2006/relationships/hyperlink" Target="https://doi.org/10.2307/1951731" TargetMode="External"/><Relationship Id="rId43" Type="http://schemas.openxmlformats.org/officeDocument/2006/relationships/hyperlink" Target="https://doi.org/10.1017/S0957876526000070" TargetMode="External"/><Relationship Id="rId48" Type="http://schemas.openxmlformats.org/officeDocument/2006/relationships/hyperlink" Target="https://doi.org/10.1007/s12119-023-10153-4" TargetMode="External"/><Relationship Id="rId56" Type="http://schemas.openxmlformats.org/officeDocument/2006/relationships/hyperlink" Target="https://www.undp.org/ukraine/publications/undp-supporting-ukraines-vision-transparent-inclusive-and-sustainable-development" TargetMode="External"/><Relationship Id="rId8" Type="http://schemas.openxmlformats.org/officeDocument/2006/relationships/hyperlink" Target="https://doi.org/10.1093/ips/olab021" TargetMode="External"/><Relationship Id="rId51" Type="http://schemas.openxmlformats.org/officeDocument/2006/relationships/hyperlink" Target="https://doi.org/10.1080/13511610.2025.2467214" TargetMode="External"/><Relationship Id="rId3" Type="http://schemas.openxmlformats.org/officeDocument/2006/relationships/webSettings" Target="webSettings.xml"/><Relationship Id="rId12" Type="http://schemas.openxmlformats.org/officeDocument/2006/relationships/hyperlink" Target="https://doi.org/10.1177/17499755221127877" TargetMode="External"/><Relationship Id="rId17" Type="http://schemas.openxmlformats.org/officeDocument/2006/relationships/hyperlink" Target="https://doi.org/10.4324/9781003382607-12" TargetMode="External"/><Relationship Id="rId25" Type="http://schemas.openxmlformats.org/officeDocument/2006/relationships/hyperlink" Target="https://doi.org/10.1007/s11266-015-9626-7" TargetMode="External"/><Relationship Id="rId33" Type="http://schemas.openxmlformats.org/officeDocument/2006/relationships/hyperlink" Target="https://doi.org/10.1007/s11266-016-9819-8" TargetMode="External"/><Relationship Id="rId38" Type="http://schemas.openxmlformats.org/officeDocument/2006/relationships/hyperlink" Target="https://doi.org/10.1007/s11266-019-00106-7" TargetMode="External"/><Relationship Id="rId46" Type="http://schemas.openxmlformats.org/officeDocument/2006/relationships/hyperlink" Target="https://doi.org/10.1080/17448689.2022.2121296" TargetMode="External"/><Relationship Id="rId59" Type="http://schemas.openxmlformats.org/officeDocument/2006/relationships/hyperlink" Target="https://doi.org/10.1080/14616696.2023.2185652" TargetMode="External"/><Relationship Id="rId20" Type="http://schemas.openxmlformats.org/officeDocument/2006/relationships/hyperlink" Target="https://doi.org/10.7227/JHA.003" TargetMode="External"/><Relationship Id="rId41" Type="http://schemas.openxmlformats.org/officeDocument/2006/relationships/hyperlink" Target="https://doi.org/10.4337/9781035346554.00024" TargetMode="External"/><Relationship Id="rId54" Type="http://schemas.openxmlformats.org/officeDocument/2006/relationships/hyperlink" Target="https://humanitarianaction.info/plan/1515"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susan.p.murphy@tcd.ie" TargetMode="External"/><Relationship Id="rId15" Type="http://schemas.openxmlformats.org/officeDocument/2006/relationships/hyperlink" Target="https://doi.org/10.1093/polsoc/puaf044" TargetMode="External"/><Relationship Id="rId23" Type="http://schemas.openxmlformats.org/officeDocument/2006/relationships/hyperlink" Target="https://doi.org/10.1111/1475-6765.12182" TargetMode="External"/><Relationship Id="rId28" Type="http://schemas.openxmlformats.org/officeDocument/2006/relationships/hyperlink" Target="https://doi.org/10.55363/IDMC.ETWG8973" TargetMode="External"/><Relationship Id="rId36" Type="http://schemas.openxmlformats.org/officeDocument/2006/relationships/hyperlink" Target="https://doi.org/10.1007/s44282-025-00277-3" TargetMode="External"/><Relationship Id="rId49" Type="http://schemas.openxmlformats.org/officeDocument/2006/relationships/hyperlink" Target="https://doi.org/10.14288/ACME.V22I3.2180" TargetMode="External"/><Relationship Id="rId57" Type="http://schemas.openxmlformats.org/officeDocument/2006/relationships/hyperlink" Target="https://doi.org/10.18523/kmlpj119984.2017-3.23-45" TargetMode="External"/><Relationship Id="rId10" Type="http://schemas.openxmlformats.org/officeDocument/2006/relationships/hyperlink" Target="https://doi.org/10.1080/21622671.2016.1231631" TargetMode="External"/><Relationship Id="rId31" Type="http://schemas.openxmlformats.org/officeDocument/2006/relationships/hyperlink" Target="https://doi.org/10.1080/09614524.2024.2303666" TargetMode="External"/><Relationship Id="rId44" Type="http://schemas.openxmlformats.org/officeDocument/2006/relationships/hyperlink" Target="https://doi.org/10.1093/polsoc/puaf037" TargetMode="External"/><Relationship Id="rId52" Type="http://schemas.openxmlformats.org/officeDocument/2006/relationships/hyperlink" Target="https://doi.org/10.5937/politeia0-20022" TargetMode="External"/><Relationship Id="rId6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nec.ro/wp-content/uploads/2025/05/Anuar-NEC-2024-2025-vol-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3854</Words>
  <Characters>21969</Characters>
  <Application>Microsoft Office Word</Application>
  <DocSecurity>0</DocSecurity>
  <Lines>183</Lines>
  <Paragraphs>51</Paragraphs>
  <ScaleCrop>false</ScaleCrop>
  <Company/>
  <LinksUpToDate>false</LinksUpToDate>
  <CharactersWithSpaces>25772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Murphy</dc:creator>
  <cp:keywords/>
  <dc:description/>
  <cp:lastModifiedBy>Susan Murphy</cp:lastModifiedBy>
  <cp:revision>8</cp:revision>
  <dcterms:created xsi:type="dcterms:W3CDTF">2026-09-09T09:06:00Z</dcterms:created>
  <dcterms:modified xsi:type="dcterms:W3CDTF">2026-09-09T10:49:00Z</dcterms:modified>
</cp:coreProperties>
</file>