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D4DBC" w14:textId="24E0D545" w:rsidR="00655A69" w:rsidRDefault="00655A69">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lang w:val="en-US"/>
        </w:rPr>
        <w:t xml:space="preserve">Title: </w:t>
      </w:r>
      <w:r w:rsidRPr="00655A69">
        <w:rPr>
          <w:rFonts w:ascii="Times New Roman" w:eastAsia="Times New Roman" w:hAnsi="Times New Roman" w:cs="Times New Roman"/>
          <w:b/>
          <w:bCs/>
        </w:rPr>
        <w:t xml:space="preserve">European Employment Policy and Human Capital Attraction Tools from Third Countries: Challenges and Contradictions in the Greek </w:t>
      </w:r>
      <w:proofErr w:type="spellStart"/>
      <w:r w:rsidRPr="00655A69">
        <w:rPr>
          <w:rFonts w:ascii="Times New Roman" w:eastAsia="Times New Roman" w:hAnsi="Times New Roman" w:cs="Times New Roman"/>
          <w:b/>
          <w:bCs/>
        </w:rPr>
        <w:t>Labour</w:t>
      </w:r>
      <w:proofErr w:type="spellEnd"/>
      <w:r w:rsidRPr="00655A69">
        <w:rPr>
          <w:rFonts w:ascii="Times New Roman" w:eastAsia="Times New Roman" w:hAnsi="Times New Roman" w:cs="Times New Roman"/>
          <w:b/>
          <w:bCs/>
        </w:rPr>
        <w:t xml:space="preserve"> Market</w:t>
      </w:r>
    </w:p>
    <w:p w14:paraId="414B4E0C" w14:textId="66DC9853" w:rsidR="00655A69" w:rsidRDefault="00655A69">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Author: </w:t>
      </w:r>
      <w:proofErr w:type="spellStart"/>
      <w:r>
        <w:rPr>
          <w:rFonts w:ascii="Times New Roman" w:eastAsia="Times New Roman" w:hAnsi="Times New Roman" w:cs="Times New Roman"/>
          <w:b/>
          <w:bCs/>
        </w:rPr>
        <w:t>Efstratios</w:t>
      </w:r>
      <w:proofErr w:type="spellEnd"/>
      <w:r>
        <w:rPr>
          <w:rFonts w:ascii="Times New Roman" w:eastAsia="Times New Roman" w:hAnsi="Times New Roman" w:cs="Times New Roman"/>
          <w:b/>
          <w:bCs/>
        </w:rPr>
        <w:t xml:space="preserve"> Adalis</w:t>
      </w:r>
    </w:p>
    <w:p w14:paraId="4018EB9A" w14:textId="258DE173" w:rsidR="00655A69" w:rsidRDefault="006C5E8B">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Institution: </w:t>
      </w:r>
      <w:proofErr w:type="spellStart"/>
      <w:r w:rsidR="00A257FC">
        <w:rPr>
          <w:rFonts w:ascii="Times New Roman" w:eastAsia="Times New Roman" w:hAnsi="Times New Roman" w:cs="Times New Roman"/>
          <w:b/>
          <w:bCs/>
        </w:rPr>
        <w:t>Panteion</w:t>
      </w:r>
      <w:proofErr w:type="spellEnd"/>
      <w:r w:rsidR="00A257FC">
        <w:rPr>
          <w:rFonts w:ascii="Times New Roman" w:eastAsia="Times New Roman" w:hAnsi="Times New Roman" w:cs="Times New Roman"/>
          <w:b/>
          <w:bCs/>
        </w:rPr>
        <w:t xml:space="preserve"> University</w:t>
      </w:r>
    </w:p>
    <w:p w14:paraId="4DC81B6E" w14:textId="77777777" w:rsidR="004E225F" w:rsidRPr="00655A69" w:rsidRDefault="004E225F">
      <w:pPr>
        <w:spacing w:line="360" w:lineRule="auto"/>
        <w:jc w:val="both"/>
        <w:rPr>
          <w:rFonts w:ascii="Times New Roman" w:eastAsia="Times New Roman" w:hAnsi="Times New Roman" w:cs="Times New Roman"/>
          <w:b/>
          <w:bCs/>
          <w:lang w:val="en-US"/>
        </w:rPr>
      </w:pPr>
    </w:p>
    <w:p w14:paraId="04198DB1" w14:textId="77557896" w:rsidR="00AC2A63" w:rsidRPr="0081251D" w:rsidRDefault="0081251D">
      <w:pPr>
        <w:keepNext/>
        <w:keepLines/>
        <w:pBdr>
          <w:top w:val="nil"/>
          <w:left w:val="nil"/>
          <w:bottom w:val="nil"/>
          <w:right w:val="nil"/>
          <w:between w:val="nil"/>
        </w:pBdr>
        <w:spacing w:before="240" w:after="0" w:line="259"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Content</w:t>
      </w:r>
    </w:p>
    <w:sdt>
      <w:sdtPr>
        <w:id w:val="-670269483"/>
        <w:docPartObj>
          <w:docPartGallery w:val="Table of Contents"/>
          <w:docPartUnique/>
        </w:docPartObj>
      </w:sdtPr>
      <w:sdtContent>
        <w:p w14:paraId="6DD3D36F" w14:textId="0E192EC3" w:rsidR="000A7732" w:rsidRDefault="00000000">
          <w:pPr>
            <w:pStyle w:val="TOC1"/>
            <w:tabs>
              <w:tab w:val="right" w:leader="dot" w:pos="9350"/>
            </w:tabs>
            <w:rPr>
              <w:rFonts w:asciiTheme="minorHAnsi" w:eastAsiaTheme="minorEastAsia" w:hAnsiTheme="minorHAnsi" w:cstheme="minorBidi"/>
              <w:noProof/>
              <w:kern w:val="2"/>
              <w:lang w:val="en-US"/>
              <w14:ligatures w14:val="standardContextual"/>
            </w:rPr>
          </w:pPr>
          <w:r>
            <w:fldChar w:fldCharType="begin"/>
          </w:r>
          <w:r>
            <w:instrText xml:space="preserve"> TOC \h \u \z \t "Heading 1,1,Heading 2,2,Heading 3,3,"</w:instrText>
          </w:r>
          <w:r>
            <w:fldChar w:fldCharType="separate"/>
          </w:r>
          <w:hyperlink w:anchor="_Toc239090977" w:history="1">
            <w:r w:rsidR="000A7732" w:rsidRPr="003804AD">
              <w:rPr>
                <w:rStyle w:val="Hyperlink"/>
                <w:rFonts w:ascii="Times New Roman" w:eastAsia="Times New Roman" w:hAnsi="Times New Roman" w:cs="Times New Roman"/>
                <w:b/>
                <w:bCs/>
                <w:noProof/>
              </w:rPr>
              <w:t>Chapter 1. Introduction</w:t>
            </w:r>
            <w:r w:rsidR="000A7732">
              <w:rPr>
                <w:noProof/>
                <w:webHidden/>
              </w:rPr>
              <w:tab/>
            </w:r>
            <w:r w:rsidR="000A7732">
              <w:rPr>
                <w:noProof/>
                <w:webHidden/>
              </w:rPr>
              <w:fldChar w:fldCharType="begin"/>
            </w:r>
            <w:r w:rsidR="000A7732">
              <w:rPr>
                <w:noProof/>
                <w:webHidden/>
              </w:rPr>
              <w:instrText xml:space="preserve"> PAGEREF _Toc239090977 \h </w:instrText>
            </w:r>
            <w:r w:rsidR="000A7732">
              <w:rPr>
                <w:noProof/>
                <w:webHidden/>
              </w:rPr>
            </w:r>
            <w:r w:rsidR="000A7732">
              <w:rPr>
                <w:noProof/>
                <w:webHidden/>
              </w:rPr>
              <w:fldChar w:fldCharType="separate"/>
            </w:r>
            <w:r w:rsidR="000A7732">
              <w:rPr>
                <w:noProof/>
                <w:webHidden/>
              </w:rPr>
              <w:t>4</w:t>
            </w:r>
            <w:r w:rsidR="000A7732">
              <w:rPr>
                <w:noProof/>
                <w:webHidden/>
              </w:rPr>
              <w:fldChar w:fldCharType="end"/>
            </w:r>
          </w:hyperlink>
        </w:p>
        <w:p w14:paraId="72634B52" w14:textId="530EE1A1" w:rsidR="000A7732" w:rsidRDefault="00000000">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9090978" w:history="1">
            <w:r w:rsidR="000A7732" w:rsidRPr="003804AD">
              <w:rPr>
                <w:rStyle w:val="Hyperlink"/>
                <w:rFonts w:ascii="Times New Roman" w:eastAsia="Times New Roman" w:hAnsi="Times New Roman" w:cs="Times New Roman"/>
                <w:b/>
                <w:bCs/>
                <w:noProof/>
              </w:rPr>
              <w:t>Chapter 2. Theoretical Framework: Economic Paradigms and Labour Market Fragmentation</w:t>
            </w:r>
            <w:r w:rsidR="000A7732">
              <w:rPr>
                <w:noProof/>
                <w:webHidden/>
              </w:rPr>
              <w:tab/>
            </w:r>
            <w:r w:rsidR="000A7732">
              <w:rPr>
                <w:noProof/>
                <w:webHidden/>
              </w:rPr>
              <w:fldChar w:fldCharType="begin"/>
            </w:r>
            <w:r w:rsidR="000A7732">
              <w:rPr>
                <w:noProof/>
                <w:webHidden/>
              </w:rPr>
              <w:instrText xml:space="preserve"> PAGEREF _Toc239090978 \h </w:instrText>
            </w:r>
            <w:r w:rsidR="000A7732">
              <w:rPr>
                <w:noProof/>
                <w:webHidden/>
              </w:rPr>
            </w:r>
            <w:r w:rsidR="000A7732">
              <w:rPr>
                <w:noProof/>
                <w:webHidden/>
              </w:rPr>
              <w:fldChar w:fldCharType="separate"/>
            </w:r>
            <w:r w:rsidR="000A7732">
              <w:rPr>
                <w:noProof/>
                <w:webHidden/>
              </w:rPr>
              <w:t>8</w:t>
            </w:r>
            <w:r w:rsidR="000A7732">
              <w:rPr>
                <w:noProof/>
                <w:webHidden/>
              </w:rPr>
              <w:fldChar w:fldCharType="end"/>
            </w:r>
          </w:hyperlink>
        </w:p>
        <w:p w14:paraId="664D8EAF" w14:textId="0F718313" w:rsidR="000A7732" w:rsidRDefault="00000000">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9090979" w:history="1">
            <w:r w:rsidR="000A7732" w:rsidRPr="003804AD">
              <w:rPr>
                <w:rStyle w:val="Hyperlink"/>
                <w:rFonts w:ascii="Times New Roman" w:eastAsia="Times New Roman" w:hAnsi="Times New Roman" w:cs="Times New Roman"/>
                <w:b/>
                <w:bCs/>
                <w:noProof/>
              </w:rPr>
              <w:t>Chapter</w:t>
            </w:r>
            <w:r w:rsidR="000A7732" w:rsidRPr="003804AD">
              <w:rPr>
                <w:rStyle w:val="Hyperlink"/>
                <w:rFonts w:ascii="Times New Roman" w:eastAsia="Times New Roman" w:hAnsi="Times New Roman" w:cs="Times New Roman"/>
                <w:b/>
                <w:bCs/>
                <w:noProof/>
                <w:lang w:val="en-US"/>
              </w:rPr>
              <w:t xml:space="preserve"> 3. </w:t>
            </w:r>
            <w:r w:rsidR="000A7732" w:rsidRPr="003804AD">
              <w:rPr>
                <w:rStyle w:val="Hyperlink"/>
                <w:rFonts w:ascii="Times New Roman" w:eastAsia="Times New Roman" w:hAnsi="Times New Roman" w:cs="Times New Roman"/>
                <w:b/>
                <w:bCs/>
                <w:noProof/>
              </w:rPr>
              <w:t>The Greek Case: Needs Assessment and National Employment Policies</w:t>
            </w:r>
            <w:r w:rsidR="000A7732">
              <w:rPr>
                <w:noProof/>
                <w:webHidden/>
              </w:rPr>
              <w:tab/>
            </w:r>
            <w:r w:rsidR="000A7732">
              <w:rPr>
                <w:noProof/>
                <w:webHidden/>
              </w:rPr>
              <w:fldChar w:fldCharType="begin"/>
            </w:r>
            <w:r w:rsidR="000A7732">
              <w:rPr>
                <w:noProof/>
                <w:webHidden/>
              </w:rPr>
              <w:instrText xml:space="preserve"> PAGEREF _Toc239090979 \h </w:instrText>
            </w:r>
            <w:r w:rsidR="000A7732">
              <w:rPr>
                <w:noProof/>
                <w:webHidden/>
              </w:rPr>
            </w:r>
            <w:r w:rsidR="000A7732">
              <w:rPr>
                <w:noProof/>
                <w:webHidden/>
              </w:rPr>
              <w:fldChar w:fldCharType="separate"/>
            </w:r>
            <w:r w:rsidR="000A7732">
              <w:rPr>
                <w:noProof/>
                <w:webHidden/>
              </w:rPr>
              <w:t>11</w:t>
            </w:r>
            <w:r w:rsidR="000A7732">
              <w:rPr>
                <w:noProof/>
                <w:webHidden/>
              </w:rPr>
              <w:fldChar w:fldCharType="end"/>
            </w:r>
          </w:hyperlink>
        </w:p>
        <w:p w14:paraId="4867C031" w14:textId="078019B1" w:rsidR="000A7732" w:rsidRDefault="00000000">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9090980" w:history="1">
            <w:r w:rsidR="000A7732" w:rsidRPr="003804AD">
              <w:rPr>
                <w:rStyle w:val="Hyperlink"/>
                <w:rFonts w:ascii="Times New Roman" w:eastAsia="Times New Roman" w:hAnsi="Times New Roman" w:cs="Times New Roman"/>
                <w:b/>
                <w:bCs/>
                <w:noProof/>
                <w:lang w:val="en-US"/>
              </w:rPr>
              <w:t>Needs Assessment</w:t>
            </w:r>
            <w:r w:rsidR="000A7732">
              <w:rPr>
                <w:noProof/>
                <w:webHidden/>
              </w:rPr>
              <w:tab/>
            </w:r>
            <w:r w:rsidR="000A7732">
              <w:rPr>
                <w:noProof/>
                <w:webHidden/>
              </w:rPr>
              <w:fldChar w:fldCharType="begin"/>
            </w:r>
            <w:r w:rsidR="000A7732">
              <w:rPr>
                <w:noProof/>
                <w:webHidden/>
              </w:rPr>
              <w:instrText xml:space="preserve"> PAGEREF _Toc239090980 \h </w:instrText>
            </w:r>
            <w:r w:rsidR="000A7732">
              <w:rPr>
                <w:noProof/>
                <w:webHidden/>
              </w:rPr>
            </w:r>
            <w:r w:rsidR="000A7732">
              <w:rPr>
                <w:noProof/>
                <w:webHidden/>
              </w:rPr>
              <w:fldChar w:fldCharType="separate"/>
            </w:r>
            <w:r w:rsidR="000A7732">
              <w:rPr>
                <w:noProof/>
                <w:webHidden/>
              </w:rPr>
              <w:t>11</w:t>
            </w:r>
            <w:r w:rsidR="000A7732">
              <w:rPr>
                <w:noProof/>
                <w:webHidden/>
              </w:rPr>
              <w:fldChar w:fldCharType="end"/>
            </w:r>
          </w:hyperlink>
        </w:p>
        <w:p w14:paraId="4F44F1DD" w14:textId="4AAE7C0D" w:rsidR="000A7732" w:rsidRDefault="00000000">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9090981" w:history="1">
            <w:r w:rsidR="000A7732" w:rsidRPr="003804AD">
              <w:rPr>
                <w:rStyle w:val="Hyperlink"/>
                <w:rFonts w:ascii="Times New Roman" w:eastAsia="Times New Roman" w:hAnsi="Times New Roman" w:cs="Times New Roman"/>
                <w:b/>
                <w:bCs/>
                <w:noProof/>
                <w:lang w:val="en-US"/>
              </w:rPr>
              <w:t>Labour Market Tightness</w:t>
            </w:r>
            <w:r w:rsidR="000A7732">
              <w:rPr>
                <w:noProof/>
                <w:webHidden/>
              </w:rPr>
              <w:tab/>
            </w:r>
            <w:r w:rsidR="000A7732">
              <w:rPr>
                <w:noProof/>
                <w:webHidden/>
              </w:rPr>
              <w:fldChar w:fldCharType="begin"/>
            </w:r>
            <w:r w:rsidR="000A7732">
              <w:rPr>
                <w:noProof/>
                <w:webHidden/>
              </w:rPr>
              <w:instrText xml:space="preserve"> PAGEREF _Toc239090981 \h </w:instrText>
            </w:r>
            <w:r w:rsidR="000A7732">
              <w:rPr>
                <w:noProof/>
                <w:webHidden/>
              </w:rPr>
            </w:r>
            <w:r w:rsidR="000A7732">
              <w:rPr>
                <w:noProof/>
                <w:webHidden/>
              </w:rPr>
              <w:fldChar w:fldCharType="separate"/>
            </w:r>
            <w:r w:rsidR="000A7732">
              <w:rPr>
                <w:noProof/>
                <w:webHidden/>
              </w:rPr>
              <w:t>13</w:t>
            </w:r>
            <w:r w:rsidR="000A7732">
              <w:rPr>
                <w:noProof/>
                <w:webHidden/>
              </w:rPr>
              <w:fldChar w:fldCharType="end"/>
            </w:r>
          </w:hyperlink>
        </w:p>
        <w:p w14:paraId="22FF91DD" w14:textId="06AC2A95" w:rsidR="000A7732" w:rsidRDefault="00000000">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9090982" w:history="1">
            <w:r w:rsidR="000A7732" w:rsidRPr="003804AD">
              <w:rPr>
                <w:rStyle w:val="Hyperlink"/>
                <w:rFonts w:ascii="Times New Roman" w:eastAsia="Times New Roman" w:hAnsi="Times New Roman" w:cs="Times New Roman"/>
                <w:b/>
                <w:bCs/>
                <w:noProof/>
              </w:rPr>
              <w:t>Public Workforce Management Policies</w:t>
            </w:r>
            <w:r w:rsidR="000A7732">
              <w:rPr>
                <w:noProof/>
                <w:webHidden/>
              </w:rPr>
              <w:tab/>
            </w:r>
            <w:r w:rsidR="000A7732">
              <w:rPr>
                <w:noProof/>
                <w:webHidden/>
              </w:rPr>
              <w:fldChar w:fldCharType="begin"/>
            </w:r>
            <w:r w:rsidR="000A7732">
              <w:rPr>
                <w:noProof/>
                <w:webHidden/>
              </w:rPr>
              <w:instrText xml:space="preserve"> PAGEREF _Toc239090982 \h </w:instrText>
            </w:r>
            <w:r w:rsidR="000A7732">
              <w:rPr>
                <w:noProof/>
                <w:webHidden/>
              </w:rPr>
            </w:r>
            <w:r w:rsidR="000A7732">
              <w:rPr>
                <w:noProof/>
                <w:webHidden/>
              </w:rPr>
              <w:fldChar w:fldCharType="separate"/>
            </w:r>
            <w:r w:rsidR="000A7732">
              <w:rPr>
                <w:noProof/>
                <w:webHidden/>
              </w:rPr>
              <w:t>18</w:t>
            </w:r>
            <w:r w:rsidR="000A7732">
              <w:rPr>
                <w:noProof/>
                <w:webHidden/>
              </w:rPr>
              <w:fldChar w:fldCharType="end"/>
            </w:r>
          </w:hyperlink>
        </w:p>
        <w:p w14:paraId="418B9850" w14:textId="398600BC" w:rsidR="000A7732" w:rsidRDefault="00000000">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9090983" w:history="1">
            <w:r w:rsidR="000A7732" w:rsidRPr="003804AD">
              <w:rPr>
                <w:rStyle w:val="Hyperlink"/>
                <w:rFonts w:ascii="Times New Roman" w:eastAsia="Times New Roman" w:hAnsi="Times New Roman" w:cs="Times New Roman"/>
                <w:b/>
                <w:bCs/>
                <w:noProof/>
                <w:lang w:val="el-GR"/>
              </w:rPr>
              <w:t>Ν</w:t>
            </w:r>
            <w:r w:rsidR="000A7732" w:rsidRPr="003804AD">
              <w:rPr>
                <w:rStyle w:val="Hyperlink"/>
                <w:rFonts w:ascii="Times New Roman" w:eastAsia="Times New Roman" w:hAnsi="Times New Roman" w:cs="Times New Roman"/>
                <w:b/>
                <w:bCs/>
                <w:noProof/>
              </w:rPr>
              <w:t>ational Temporary Labour Schemes and Administrative Barriers</w:t>
            </w:r>
            <w:r w:rsidR="000A7732">
              <w:rPr>
                <w:noProof/>
                <w:webHidden/>
              </w:rPr>
              <w:tab/>
            </w:r>
            <w:r w:rsidR="000A7732">
              <w:rPr>
                <w:noProof/>
                <w:webHidden/>
              </w:rPr>
              <w:fldChar w:fldCharType="begin"/>
            </w:r>
            <w:r w:rsidR="000A7732">
              <w:rPr>
                <w:noProof/>
                <w:webHidden/>
              </w:rPr>
              <w:instrText xml:space="preserve"> PAGEREF _Toc239090983 \h </w:instrText>
            </w:r>
            <w:r w:rsidR="000A7732">
              <w:rPr>
                <w:noProof/>
                <w:webHidden/>
              </w:rPr>
            </w:r>
            <w:r w:rsidR="000A7732">
              <w:rPr>
                <w:noProof/>
                <w:webHidden/>
              </w:rPr>
              <w:fldChar w:fldCharType="separate"/>
            </w:r>
            <w:r w:rsidR="000A7732">
              <w:rPr>
                <w:noProof/>
                <w:webHidden/>
              </w:rPr>
              <w:t>18</w:t>
            </w:r>
            <w:r w:rsidR="000A7732">
              <w:rPr>
                <w:noProof/>
                <w:webHidden/>
              </w:rPr>
              <w:fldChar w:fldCharType="end"/>
            </w:r>
          </w:hyperlink>
        </w:p>
        <w:p w14:paraId="235F046A" w14:textId="0B9D7315" w:rsidR="000A7732" w:rsidRDefault="00000000">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9090984" w:history="1">
            <w:r w:rsidR="000A7732" w:rsidRPr="003804AD">
              <w:rPr>
                <w:rStyle w:val="Hyperlink"/>
                <w:rFonts w:ascii="Times New Roman" w:eastAsia="Times New Roman" w:hAnsi="Times New Roman" w:cs="Times New Roman"/>
                <w:b/>
                <w:bCs/>
                <w:noProof/>
              </w:rPr>
              <w:t>Brain</w:t>
            </w:r>
            <w:r w:rsidR="000A7732" w:rsidRPr="003804AD">
              <w:rPr>
                <w:rStyle w:val="Hyperlink"/>
                <w:rFonts w:ascii="Times New Roman" w:eastAsia="Times New Roman" w:hAnsi="Times New Roman" w:cs="Times New Roman"/>
                <w:b/>
                <w:bCs/>
                <w:noProof/>
                <w:lang w:val="en-US"/>
              </w:rPr>
              <w:t xml:space="preserve"> </w:t>
            </w:r>
            <w:r w:rsidR="000A7732" w:rsidRPr="003804AD">
              <w:rPr>
                <w:rStyle w:val="Hyperlink"/>
                <w:rFonts w:ascii="Times New Roman" w:eastAsia="Times New Roman" w:hAnsi="Times New Roman" w:cs="Times New Roman"/>
                <w:b/>
                <w:bCs/>
                <w:noProof/>
              </w:rPr>
              <w:t>Gain Policy</w:t>
            </w:r>
            <w:r w:rsidR="000A7732" w:rsidRPr="003804AD">
              <w:rPr>
                <w:rStyle w:val="Hyperlink"/>
                <w:rFonts w:ascii="Times New Roman" w:eastAsia="Times New Roman" w:hAnsi="Times New Roman" w:cs="Times New Roman"/>
                <w:b/>
                <w:bCs/>
                <w:noProof/>
                <w:lang w:val="en-US"/>
              </w:rPr>
              <w:t>: The Greek «</w:t>
            </w:r>
            <w:r w:rsidR="000A7732" w:rsidRPr="003804AD">
              <w:rPr>
                <w:rStyle w:val="Hyperlink"/>
                <w:rFonts w:ascii="Times New Roman" w:eastAsia="Times New Roman" w:hAnsi="Times New Roman" w:cs="Times New Roman"/>
                <w:b/>
                <w:bCs/>
                <w:noProof/>
              </w:rPr>
              <w:t>Talent</w:t>
            </w:r>
            <w:r w:rsidR="000A7732" w:rsidRPr="003804AD">
              <w:rPr>
                <w:rStyle w:val="Hyperlink"/>
                <w:rFonts w:ascii="Times New Roman" w:eastAsia="Times New Roman" w:hAnsi="Times New Roman" w:cs="Times New Roman"/>
                <w:b/>
                <w:bCs/>
                <w:noProof/>
                <w:lang w:val="en-US"/>
              </w:rPr>
              <w:t xml:space="preserve"> </w:t>
            </w:r>
            <w:r w:rsidR="000A7732" w:rsidRPr="003804AD">
              <w:rPr>
                <w:rStyle w:val="Hyperlink"/>
                <w:rFonts w:ascii="Times New Roman" w:eastAsia="Times New Roman" w:hAnsi="Times New Roman" w:cs="Times New Roman"/>
                <w:b/>
                <w:bCs/>
                <w:noProof/>
              </w:rPr>
              <w:t>Pool</w:t>
            </w:r>
            <w:r w:rsidR="000A7732" w:rsidRPr="003804AD">
              <w:rPr>
                <w:rStyle w:val="Hyperlink"/>
                <w:rFonts w:ascii="Times New Roman" w:eastAsia="Times New Roman" w:hAnsi="Times New Roman" w:cs="Times New Roman"/>
                <w:b/>
                <w:bCs/>
                <w:noProof/>
                <w:lang w:val="en-US"/>
              </w:rPr>
              <w:t>»</w:t>
            </w:r>
            <w:r w:rsidR="000A7732">
              <w:rPr>
                <w:noProof/>
                <w:webHidden/>
              </w:rPr>
              <w:tab/>
            </w:r>
            <w:r w:rsidR="000A7732">
              <w:rPr>
                <w:noProof/>
                <w:webHidden/>
              </w:rPr>
              <w:fldChar w:fldCharType="begin"/>
            </w:r>
            <w:r w:rsidR="000A7732">
              <w:rPr>
                <w:noProof/>
                <w:webHidden/>
              </w:rPr>
              <w:instrText xml:space="preserve"> PAGEREF _Toc239090984 \h </w:instrText>
            </w:r>
            <w:r w:rsidR="000A7732">
              <w:rPr>
                <w:noProof/>
                <w:webHidden/>
              </w:rPr>
            </w:r>
            <w:r w:rsidR="000A7732">
              <w:rPr>
                <w:noProof/>
                <w:webHidden/>
              </w:rPr>
              <w:fldChar w:fldCharType="separate"/>
            </w:r>
            <w:r w:rsidR="000A7732">
              <w:rPr>
                <w:noProof/>
                <w:webHidden/>
              </w:rPr>
              <w:t>22</w:t>
            </w:r>
            <w:r w:rsidR="000A7732">
              <w:rPr>
                <w:noProof/>
                <w:webHidden/>
              </w:rPr>
              <w:fldChar w:fldCharType="end"/>
            </w:r>
          </w:hyperlink>
        </w:p>
        <w:p w14:paraId="0F3917B3" w14:textId="5109A0B5" w:rsidR="000A7732" w:rsidRDefault="00000000">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9090985" w:history="1">
            <w:r w:rsidR="000A7732" w:rsidRPr="003804AD">
              <w:rPr>
                <w:rStyle w:val="Hyperlink"/>
                <w:rFonts w:ascii="Times New Roman" w:eastAsia="Times New Roman" w:hAnsi="Times New Roman" w:cs="Times New Roman"/>
                <w:b/>
                <w:bCs/>
                <w:noProof/>
              </w:rPr>
              <w:t>Chapter</w:t>
            </w:r>
            <w:r w:rsidR="000A7732" w:rsidRPr="003804AD">
              <w:rPr>
                <w:rStyle w:val="Hyperlink"/>
                <w:rFonts w:ascii="Times New Roman" w:eastAsia="Times New Roman" w:hAnsi="Times New Roman" w:cs="Times New Roman"/>
                <w:b/>
                <w:bCs/>
                <w:noProof/>
                <w:lang w:val="en-US"/>
              </w:rPr>
              <w:t xml:space="preserve"> 4. </w:t>
            </w:r>
            <w:r w:rsidR="000A7732" w:rsidRPr="003804AD">
              <w:rPr>
                <w:rStyle w:val="Hyperlink"/>
                <w:rFonts w:ascii="Times New Roman" w:eastAsia="Times New Roman" w:hAnsi="Times New Roman" w:cs="Times New Roman"/>
                <w:b/>
                <w:bCs/>
                <w:noProof/>
              </w:rPr>
              <w:t>European Policies for Augmenting Labour Supply Through Workforce Attraction</w:t>
            </w:r>
            <w:r w:rsidR="000A7732">
              <w:rPr>
                <w:noProof/>
                <w:webHidden/>
              </w:rPr>
              <w:tab/>
            </w:r>
            <w:r w:rsidR="000A7732">
              <w:rPr>
                <w:noProof/>
                <w:webHidden/>
              </w:rPr>
              <w:fldChar w:fldCharType="begin"/>
            </w:r>
            <w:r w:rsidR="000A7732">
              <w:rPr>
                <w:noProof/>
                <w:webHidden/>
              </w:rPr>
              <w:instrText xml:space="preserve"> PAGEREF _Toc239090985 \h </w:instrText>
            </w:r>
            <w:r w:rsidR="000A7732">
              <w:rPr>
                <w:noProof/>
                <w:webHidden/>
              </w:rPr>
            </w:r>
            <w:r w:rsidR="000A7732">
              <w:rPr>
                <w:noProof/>
                <w:webHidden/>
              </w:rPr>
              <w:fldChar w:fldCharType="separate"/>
            </w:r>
            <w:r w:rsidR="000A7732">
              <w:rPr>
                <w:noProof/>
                <w:webHidden/>
              </w:rPr>
              <w:t>23</w:t>
            </w:r>
            <w:r w:rsidR="000A7732">
              <w:rPr>
                <w:noProof/>
                <w:webHidden/>
              </w:rPr>
              <w:fldChar w:fldCharType="end"/>
            </w:r>
          </w:hyperlink>
        </w:p>
        <w:p w14:paraId="1C4EE28E" w14:textId="6D25C832" w:rsidR="000A7732" w:rsidRDefault="00000000">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9090986" w:history="1">
            <w:r w:rsidR="000A7732" w:rsidRPr="003804AD">
              <w:rPr>
                <w:rStyle w:val="Hyperlink"/>
                <w:rFonts w:ascii="Times New Roman" w:eastAsia="Times New Roman" w:hAnsi="Times New Roman" w:cs="Times New Roman"/>
                <w:b/>
                <w:bCs/>
                <w:noProof/>
              </w:rPr>
              <w:t>The New Pact on Migration and Asylum</w:t>
            </w:r>
            <w:r w:rsidR="000A7732">
              <w:rPr>
                <w:noProof/>
                <w:webHidden/>
              </w:rPr>
              <w:tab/>
            </w:r>
            <w:r w:rsidR="000A7732">
              <w:rPr>
                <w:noProof/>
                <w:webHidden/>
              </w:rPr>
              <w:fldChar w:fldCharType="begin"/>
            </w:r>
            <w:r w:rsidR="000A7732">
              <w:rPr>
                <w:noProof/>
                <w:webHidden/>
              </w:rPr>
              <w:instrText xml:space="preserve"> PAGEREF _Toc239090986 \h </w:instrText>
            </w:r>
            <w:r w:rsidR="000A7732">
              <w:rPr>
                <w:noProof/>
                <w:webHidden/>
              </w:rPr>
            </w:r>
            <w:r w:rsidR="000A7732">
              <w:rPr>
                <w:noProof/>
                <w:webHidden/>
              </w:rPr>
              <w:fldChar w:fldCharType="separate"/>
            </w:r>
            <w:r w:rsidR="000A7732">
              <w:rPr>
                <w:noProof/>
                <w:webHidden/>
              </w:rPr>
              <w:t>24</w:t>
            </w:r>
            <w:r w:rsidR="000A7732">
              <w:rPr>
                <w:noProof/>
                <w:webHidden/>
              </w:rPr>
              <w:fldChar w:fldCharType="end"/>
            </w:r>
          </w:hyperlink>
        </w:p>
        <w:p w14:paraId="195621BA" w14:textId="5E92F435" w:rsidR="000A7732" w:rsidRDefault="00000000">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9090987" w:history="1">
            <w:r w:rsidR="000A7732" w:rsidRPr="003804AD">
              <w:rPr>
                <w:rStyle w:val="Hyperlink"/>
                <w:rFonts w:ascii="Times New Roman" w:eastAsia="Times New Roman" w:hAnsi="Times New Roman" w:cs="Times New Roman"/>
                <w:b/>
                <w:bCs/>
                <w:noProof/>
              </w:rPr>
              <w:t>Guideline 6 as a Regulatory Catalyst</w:t>
            </w:r>
            <w:r w:rsidR="000A7732">
              <w:rPr>
                <w:noProof/>
                <w:webHidden/>
              </w:rPr>
              <w:tab/>
            </w:r>
            <w:r w:rsidR="000A7732">
              <w:rPr>
                <w:noProof/>
                <w:webHidden/>
              </w:rPr>
              <w:fldChar w:fldCharType="begin"/>
            </w:r>
            <w:r w:rsidR="000A7732">
              <w:rPr>
                <w:noProof/>
                <w:webHidden/>
              </w:rPr>
              <w:instrText xml:space="preserve"> PAGEREF _Toc239090987 \h </w:instrText>
            </w:r>
            <w:r w:rsidR="000A7732">
              <w:rPr>
                <w:noProof/>
                <w:webHidden/>
              </w:rPr>
            </w:r>
            <w:r w:rsidR="000A7732">
              <w:rPr>
                <w:noProof/>
                <w:webHidden/>
              </w:rPr>
              <w:fldChar w:fldCharType="separate"/>
            </w:r>
            <w:r w:rsidR="000A7732">
              <w:rPr>
                <w:noProof/>
                <w:webHidden/>
              </w:rPr>
              <w:t>25</w:t>
            </w:r>
            <w:r w:rsidR="000A7732">
              <w:rPr>
                <w:noProof/>
                <w:webHidden/>
              </w:rPr>
              <w:fldChar w:fldCharType="end"/>
            </w:r>
          </w:hyperlink>
        </w:p>
        <w:p w14:paraId="1858A2A2" w14:textId="5E2AE2B3" w:rsidR="000A7732" w:rsidRDefault="00000000">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9090988" w:history="1">
            <w:r w:rsidR="000A7732" w:rsidRPr="003804AD">
              <w:rPr>
                <w:rStyle w:val="Hyperlink"/>
                <w:rFonts w:ascii="Times New Roman" w:eastAsia="Times New Roman" w:hAnsi="Times New Roman" w:cs="Times New Roman"/>
                <w:b/>
                <w:bCs/>
                <w:noProof/>
              </w:rPr>
              <w:t>EU</w:t>
            </w:r>
            <w:r w:rsidR="000A7732" w:rsidRPr="003804AD">
              <w:rPr>
                <w:rStyle w:val="Hyperlink"/>
                <w:rFonts w:ascii="Times New Roman" w:eastAsia="Times New Roman" w:hAnsi="Times New Roman" w:cs="Times New Roman"/>
                <w:b/>
                <w:bCs/>
                <w:noProof/>
                <w:lang w:val="en-US"/>
              </w:rPr>
              <w:t xml:space="preserve"> </w:t>
            </w:r>
            <w:r w:rsidR="000A7732" w:rsidRPr="003804AD">
              <w:rPr>
                <w:rStyle w:val="Hyperlink"/>
                <w:rFonts w:ascii="Times New Roman" w:eastAsia="Times New Roman" w:hAnsi="Times New Roman" w:cs="Times New Roman"/>
                <w:b/>
                <w:bCs/>
                <w:noProof/>
              </w:rPr>
              <w:t>Talent</w:t>
            </w:r>
            <w:r w:rsidR="000A7732" w:rsidRPr="003804AD">
              <w:rPr>
                <w:rStyle w:val="Hyperlink"/>
                <w:rFonts w:ascii="Times New Roman" w:eastAsia="Times New Roman" w:hAnsi="Times New Roman" w:cs="Times New Roman"/>
                <w:b/>
                <w:bCs/>
                <w:noProof/>
                <w:lang w:val="en-US"/>
              </w:rPr>
              <w:t xml:space="preserve"> </w:t>
            </w:r>
            <w:r w:rsidR="000A7732" w:rsidRPr="003804AD">
              <w:rPr>
                <w:rStyle w:val="Hyperlink"/>
                <w:rFonts w:ascii="Times New Roman" w:eastAsia="Times New Roman" w:hAnsi="Times New Roman" w:cs="Times New Roman"/>
                <w:b/>
                <w:bCs/>
                <w:noProof/>
              </w:rPr>
              <w:t>Pool</w:t>
            </w:r>
            <w:r w:rsidR="000A7732" w:rsidRPr="003804AD">
              <w:rPr>
                <w:rStyle w:val="Hyperlink"/>
                <w:rFonts w:ascii="Times New Roman" w:eastAsia="Times New Roman" w:hAnsi="Times New Roman" w:cs="Times New Roman"/>
                <w:b/>
                <w:bCs/>
                <w:noProof/>
                <w:lang w:val="en-US"/>
              </w:rPr>
              <w:t xml:space="preserve">: </w:t>
            </w:r>
            <w:r w:rsidR="000A7732" w:rsidRPr="003804AD">
              <w:rPr>
                <w:rStyle w:val="Hyperlink"/>
                <w:rFonts w:ascii="Times New Roman" w:eastAsia="Times New Roman" w:hAnsi="Times New Roman" w:cs="Times New Roman"/>
                <w:b/>
                <w:bCs/>
                <w:noProof/>
              </w:rPr>
              <w:t>Bridging Migration and Employment</w:t>
            </w:r>
            <w:r w:rsidR="000A7732">
              <w:rPr>
                <w:noProof/>
                <w:webHidden/>
              </w:rPr>
              <w:tab/>
            </w:r>
            <w:r w:rsidR="000A7732">
              <w:rPr>
                <w:noProof/>
                <w:webHidden/>
              </w:rPr>
              <w:fldChar w:fldCharType="begin"/>
            </w:r>
            <w:r w:rsidR="000A7732">
              <w:rPr>
                <w:noProof/>
                <w:webHidden/>
              </w:rPr>
              <w:instrText xml:space="preserve"> PAGEREF _Toc239090988 \h </w:instrText>
            </w:r>
            <w:r w:rsidR="000A7732">
              <w:rPr>
                <w:noProof/>
                <w:webHidden/>
              </w:rPr>
            </w:r>
            <w:r w:rsidR="000A7732">
              <w:rPr>
                <w:noProof/>
                <w:webHidden/>
              </w:rPr>
              <w:fldChar w:fldCharType="separate"/>
            </w:r>
            <w:r w:rsidR="000A7732">
              <w:rPr>
                <w:noProof/>
                <w:webHidden/>
              </w:rPr>
              <w:t>26</w:t>
            </w:r>
            <w:r w:rsidR="000A7732">
              <w:rPr>
                <w:noProof/>
                <w:webHidden/>
              </w:rPr>
              <w:fldChar w:fldCharType="end"/>
            </w:r>
          </w:hyperlink>
        </w:p>
        <w:p w14:paraId="1B63CDF6" w14:textId="3FDF15FB" w:rsidR="000A7732" w:rsidRDefault="00000000">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9090989" w:history="1">
            <w:r w:rsidR="000A7732" w:rsidRPr="003804AD">
              <w:rPr>
                <w:rStyle w:val="Hyperlink"/>
                <w:rFonts w:ascii="Times New Roman" w:eastAsia="Times New Roman" w:hAnsi="Times New Roman" w:cs="Times New Roman"/>
                <w:b/>
                <w:bCs/>
                <w:noProof/>
              </w:rPr>
              <w:t>Chapter 5. Conclusions and Policy Proposals</w:t>
            </w:r>
            <w:r w:rsidR="000A7732">
              <w:rPr>
                <w:noProof/>
                <w:webHidden/>
              </w:rPr>
              <w:tab/>
            </w:r>
            <w:r w:rsidR="000A7732">
              <w:rPr>
                <w:noProof/>
                <w:webHidden/>
              </w:rPr>
              <w:fldChar w:fldCharType="begin"/>
            </w:r>
            <w:r w:rsidR="000A7732">
              <w:rPr>
                <w:noProof/>
                <w:webHidden/>
              </w:rPr>
              <w:instrText xml:space="preserve"> PAGEREF _Toc239090989 \h </w:instrText>
            </w:r>
            <w:r w:rsidR="000A7732">
              <w:rPr>
                <w:noProof/>
                <w:webHidden/>
              </w:rPr>
            </w:r>
            <w:r w:rsidR="000A7732">
              <w:rPr>
                <w:noProof/>
                <w:webHidden/>
              </w:rPr>
              <w:fldChar w:fldCharType="separate"/>
            </w:r>
            <w:r w:rsidR="000A7732">
              <w:rPr>
                <w:noProof/>
                <w:webHidden/>
              </w:rPr>
              <w:t>28</w:t>
            </w:r>
            <w:r w:rsidR="000A7732">
              <w:rPr>
                <w:noProof/>
                <w:webHidden/>
              </w:rPr>
              <w:fldChar w:fldCharType="end"/>
            </w:r>
          </w:hyperlink>
        </w:p>
        <w:p w14:paraId="5EE1172E" w14:textId="44446CAC" w:rsidR="000A7732" w:rsidRDefault="00000000">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9090990" w:history="1">
            <w:r w:rsidR="000A7732" w:rsidRPr="003804AD">
              <w:rPr>
                <w:rStyle w:val="Hyperlink"/>
                <w:rFonts w:ascii="Times New Roman" w:eastAsia="Times New Roman" w:hAnsi="Times New Roman" w:cs="Times New Roman"/>
                <w:b/>
                <w:bCs/>
                <w:noProof/>
              </w:rPr>
              <w:t>Bibliography</w:t>
            </w:r>
            <w:r w:rsidR="000A7732">
              <w:rPr>
                <w:noProof/>
                <w:webHidden/>
              </w:rPr>
              <w:tab/>
            </w:r>
            <w:r w:rsidR="000A7732">
              <w:rPr>
                <w:noProof/>
                <w:webHidden/>
              </w:rPr>
              <w:fldChar w:fldCharType="begin"/>
            </w:r>
            <w:r w:rsidR="000A7732">
              <w:rPr>
                <w:noProof/>
                <w:webHidden/>
              </w:rPr>
              <w:instrText xml:space="preserve"> PAGEREF _Toc239090990 \h </w:instrText>
            </w:r>
            <w:r w:rsidR="000A7732">
              <w:rPr>
                <w:noProof/>
                <w:webHidden/>
              </w:rPr>
            </w:r>
            <w:r w:rsidR="000A7732">
              <w:rPr>
                <w:noProof/>
                <w:webHidden/>
              </w:rPr>
              <w:fldChar w:fldCharType="separate"/>
            </w:r>
            <w:r w:rsidR="000A7732">
              <w:rPr>
                <w:noProof/>
                <w:webHidden/>
              </w:rPr>
              <w:t>32</w:t>
            </w:r>
            <w:r w:rsidR="000A7732">
              <w:rPr>
                <w:noProof/>
                <w:webHidden/>
              </w:rPr>
              <w:fldChar w:fldCharType="end"/>
            </w:r>
          </w:hyperlink>
        </w:p>
        <w:p w14:paraId="4F1062EE" w14:textId="7C431E1E" w:rsidR="00AC2A63" w:rsidRDefault="00000000">
          <w:r>
            <w:fldChar w:fldCharType="end"/>
          </w:r>
        </w:p>
      </w:sdtContent>
    </w:sdt>
    <w:p w14:paraId="08DB794E"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584F337B"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75BC3C95"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60A10418"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1B6AAD7F"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0638C49A"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4B48AE4C"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23D6E510"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54429CF9"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2C196456"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403284B0"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7BC70866"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4264D8C7" w14:textId="4223F892" w:rsidR="004E225F" w:rsidRDefault="004E225F">
      <w:pPr>
        <w:pStyle w:val="TableofFigures"/>
        <w:tabs>
          <w:tab w:val="right" w:leader="dot" w:pos="9350"/>
        </w:tabs>
        <w:rPr>
          <w:rFonts w:ascii="Times New Roman" w:eastAsia="Times New Roman" w:hAnsi="Times New Roman" w:cs="Times New Roman"/>
          <w:b/>
          <w:bCs/>
          <w:lang w:val="el-GR"/>
        </w:rPr>
      </w:pPr>
      <w:r w:rsidRPr="004E225F">
        <w:rPr>
          <w:rFonts w:ascii="Times New Roman" w:eastAsia="Times New Roman" w:hAnsi="Times New Roman" w:cs="Times New Roman"/>
          <w:b/>
          <w:bCs/>
        </w:rPr>
        <w:t>List of Figures</w:t>
      </w:r>
    </w:p>
    <w:p w14:paraId="0E0D4384" w14:textId="77777777" w:rsidR="004E225F" w:rsidRDefault="004E225F">
      <w:pPr>
        <w:pStyle w:val="TableofFigures"/>
        <w:tabs>
          <w:tab w:val="right" w:leader="dot" w:pos="9350"/>
        </w:tabs>
        <w:rPr>
          <w:rFonts w:ascii="Times New Roman" w:eastAsia="Times New Roman" w:hAnsi="Times New Roman" w:cs="Times New Roman"/>
          <w:b/>
          <w:bCs/>
          <w:lang w:val="el-GR"/>
        </w:rPr>
      </w:pPr>
    </w:p>
    <w:p w14:paraId="4FB8B4CD" w14:textId="5208B019" w:rsidR="00AD5C5B" w:rsidRDefault="004E225F">
      <w:pPr>
        <w:pStyle w:val="TableofFigures"/>
        <w:tabs>
          <w:tab w:val="right" w:leader="dot" w:pos="9350"/>
        </w:tabs>
        <w:rPr>
          <w:rFonts w:asciiTheme="minorHAnsi" w:eastAsiaTheme="minorEastAsia" w:hAnsiTheme="minorHAnsi" w:cstheme="minorBidi"/>
          <w:noProof/>
          <w:kern w:val="2"/>
          <w:lang w:val="en-US"/>
          <w14:ligatures w14:val="standardContextual"/>
        </w:rPr>
      </w:pPr>
      <w:r>
        <w:rPr>
          <w:rFonts w:ascii="Times New Roman" w:eastAsia="Times New Roman" w:hAnsi="Times New Roman" w:cs="Times New Roman"/>
          <w:b/>
          <w:bCs/>
        </w:rPr>
        <w:fldChar w:fldCharType="begin"/>
      </w:r>
      <w:r>
        <w:rPr>
          <w:rFonts w:ascii="Times New Roman" w:eastAsia="Times New Roman" w:hAnsi="Times New Roman" w:cs="Times New Roman"/>
          <w:b/>
          <w:bCs/>
        </w:rPr>
        <w:instrText xml:space="preserve"> TOC \h \z \c "Figure" </w:instrText>
      </w:r>
      <w:r>
        <w:rPr>
          <w:rFonts w:ascii="Times New Roman" w:eastAsia="Times New Roman" w:hAnsi="Times New Roman" w:cs="Times New Roman"/>
          <w:b/>
          <w:bCs/>
        </w:rPr>
        <w:fldChar w:fldCharType="separate"/>
      </w:r>
      <w:hyperlink w:anchor="_Toc238579066" w:history="1">
        <w:r w:rsidR="00AD5C5B" w:rsidRPr="00603D3D">
          <w:rPr>
            <w:rStyle w:val="Hyperlink"/>
            <w:rFonts w:ascii="Times New Roman" w:hAnsi="Times New Roman" w:cs="Times New Roman"/>
            <w:noProof/>
          </w:rPr>
          <w:t>Figure 1</w:t>
        </w:r>
        <w:r w:rsidR="00AD5C5B" w:rsidRPr="00603D3D">
          <w:rPr>
            <w:rStyle w:val="Hyperlink"/>
            <w:rFonts w:ascii="Arial" w:hAnsi="Arial" w:cs="Arial"/>
            <w:noProof/>
            <w:shd w:val="clear" w:color="auto" w:fill="FFFFFF"/>
          </w:rPr>
          <w:t xml:space="preserve"> </w:t>
        </w:r>
        <w:r w:rsidR="00AD5C5B" w:rsidRPr="00603D3D">
          <w:rPr>
            <w:rStyle w:val="Hyperlink"/>
            <w:rFonts w:ascii="Times New Roman" w:hAnsi="Times New Roman" w:cs="Times New Roman"/>
            <w:noProof/>
          </w:rPr>
          <w:t>Migrant Share (%) in Key Production Sectors (2021)</w:t>
        </w:r>
        <w:r w:rsidR="00AD5C5B">
          <w:rPr>
            <w:noProof/>
            <w:webHidden/>
          </w:rPr>
          <w:tab/>
        </w:r>
        <w:r w:rsidR="00AD5C5B">
          <w:rPr>
            <w:noProof/>
            <w:webHidden/>
          </w:rPr>
          <w:fldChar w:fldCharType="begin"/>
        </w:r>
        <w:r w:rsidR="00AD5C5B">
          <w:rPr>
            <w:noProof/>
            <w:webHidden/>
          </w:rPr>
          <w:instrText xml:space="preserve"> PAGEREF _Toc238579066 \h </w:instrText>
        </w:r>
        <w:r w:rsidR="00AD5C5B">
          <w:rPr>
            <w:noProof/>
            <w:webHidden/>
          </w:rPr>
        </w:r>
        <w:r w:rsidR="00AD5C5B">
          <w:rPr>
            <w:noProof/>
            <w:webHidden/>
          </w:rPr>
          <w:fldChar w:fldCharType="separate"/>
        </w:r>
        <w:r w:rsidR="00AD5C5B">
          <w:rPr>
            <w:noProof/>
            <w:webHidden/>
          </w:rPr>
          <w:t>12</w:t>
        </w:r>
        <w:r w:rsidR="00AD5C5B">
          <w:rPr>
            <w:noProof/>
            <w:webHidden/>
          </w:rPr>
          <w:fldChar w:fldCharType="end"/>
        </w:r>
      </w:hyperlink>
    </w:p>
    <w:p w14:paraId="7BFCF7A8" w14:textId="4CC5F8A6" w:rsidR="00AD5C5B"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238579067" w:history="1">
        <w:r w:rsidR="00AD5C5B" w:rsidRPr="00603D3D">
          <w:rPr>
            <w:rStyle w:val="Hyperlink"/>
            <w:rFonts w:ascii="Times New Roman" w:hAnsi="Times New Roman" w:cs="Times New Roman"/>
            <w:noProof/>
          </w:rPr>
          <w:t>Figure 2:</w:t>
        </w:r>
        <w:r w:rsidR="00AD5C5B" w:rsidRPr="00603D3D">
          <w:rPr>
            <w:rStyle w:val="Hyperlink"/>
            <w:rFonts w:ascii="Times New Roman" w:hAnsi="Times New Roman" w:cs="Times New Roman"/>
            <w:noProof/>
            <w:lang w:val="en-US"/>
          </w:rPr>
          <w:t xml:space="preserve"> </w:t>
        </w:r>
        <w:r w:rsidR="00AD5C5B" w:rsidRPr="00603D3D">
          <w:rPr>
            <w:rStyle w:val="Hyperlink"/>
            <w:rFonts w:ascii="Times New Roman" w:hAnsi="Times New Roman" w:cs="Times New Roman"/>
            <w:noProof/>
          </w:rPr>
          <w:t>Distribution of Employed Persons by Citizenship and Occupational Category in Greece (2021)</w:t>
        </w:r>
        <w:r w:rsidR="00AD5C5B">
          <w:rPr>
            <w:noProof/>
            <w:webHidden/>
          </w:rPr>
          <w:tab/>
        </w:r>
        <w:r w:rsidR="00AD5C5B">
          <w:rPr>
            <w:noProof/>
            <w:webHidden/>
          </w:rPr>
          <w:fldChar w:fldCharType="begin"/>
        </w:r>
        <w:r w:rsidR="00AD5C5B">
          <w:rPr>
            <w:noProof/>
            <w:webHidden/>
          </w:rPr>
          <w:instrText xml:space="preserve"> PAGEREF _Toc238579067 \h </w:instrText>
        </w:r>
        <w:r w:rsidR="00AD5C5B">
          <w:rPr>
            <w:noProof/>
            <w:webHidden/>
          </w:rPr>
        </w:r>
        <w:r w:rsidR="00AD5C5B">
          <w:rPr>
            <w:noProof/>
            <w:webHidden/>
          </w:rPr>
          <w:fldChar w:fldCharType="separate"/>
        </w:r>
        <w:r w:rsidR="00AD5C5B">
          <w:rPr>
            <w:noProof/>
            <w:webHidden/>
          </w:rPr>
          <w:t>13</w:t>
        </w:r>
        <w:r w:rsidR="00AD5C5B">
          <w:rPr>
            <w:noProof/>
            <w:webHidden/>
          </w:rPr>
          <w:fldChar w:fldCharType="end"/>
        </w:r>
      </w:hyperlink>
    </w:p>
    <w:p w14:paraId="32B5EA68" w14:textId="5622983A" w:rsidR="00AD5C5B"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238579068" w:history="1">
        <w:r w:rsidR="00AD5C5B" w:rsidRPr="00603D3D">
          <w:rPr>
            <w:rStyle w:val="Hyperlink"/>
            <w:rFonts w:ascii="Times New Roman" w:hAnsi="Times New Roman" w:cs="Times New Roman"/>
            <w:noProof/>
          </w:rPr>
          <w:t>Figure 3: Job Vacancy Rate (JVR %) Evolution Across Key Economic Sectors in Greece (2021–2025)</w:t>
        </w:r>
        <w:r w:rsidR="00AD5C5B">
          <w:rPr>
            <w:noProof/>
            <w:webHidden/>
          </w:rPr>
          <w:tab/>
        </w:r>
        <w:r w:rsidR="00AD5C5B">
          <w:rPr>
            <w:noProof/>
            <w:webHidden/>
          </w:rPr>
          <w:fldChar w:fldCharType="begin"/>
        </w:r>
        <w:r w:rsidR="00AD5C5B">
          <w:rPr>
            <w:noProof/>
            <w:webHidden/>
          </w:rPr>
          <w:instrText xml:space="preserve"> PAGEREF _Toc238579068 \h </w:instrText>
        </w:r>
        <w:r w:rsidR="00AD5C5B">
          <w:rPr>
            <w:noProof/>
            <w:webHidden/>
          </w:rPr>
        </w:r>
        <w:r w:rsidR="00AD5C5B">
          <w:rPr>
            <w:noProof/>
            <w:webHidden/>
          </w:rPr>
          <w:fldChar w:fldCharType="separate"/>
        </w:r>
        <w:r w:rsidR="00AD5C5B">
          <w:rPr>
            <w:noProof/>
            <w:webHidden/>
          </w:rPr>
          <w:t>14</w:t>
        </w:r>
        <w:r w:rsidR="00AD5C5B">
          <w:rPr>
            <w:noProof/>
            <w:webHidden/>
          </w:rPr>
          <w:fldChar w:fldCharType="end"/>
        </w:r>
      </w:hyperlink>
    </w:p>
    <w:p w14:paraId="07EE73B9" w14:textId="2B465E43" w:rsidR="00AD5C5B"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238579069" w:history="1">
        <w:r w:rsidR="00AD5C5B" w:rsidRPr="00603D3D">
          <w:rPr>
            <w:rStyle w:val="Hyperlink"/>
            <w:rFonts w:ascii="Times New Roman" w:hAnsi="Times New Roman" w:cs="Times New Roman"/>
            <w:noProof/>
          </w:rPr>
          <w:t>Figure 4: The Greek Beveridge Curve: Relationship Between Job Vacancy Rate and Unemployment Rate (2014 Q1–2023 Q4)</w:t>
        </w:r>
        <w:r w:rsidR="00AD5C5B">
          <w:rPr>
            <w:noProof/>
            <w:webHidden/>
          </w:rPr>
          <w:tab/>
        </w:r>
        <w:r w:rsidR="00AD5C5B">
          <w:rPr>
            <w:noProof/>
            <w:webHidden/>
          </w:rPr>
          <w:fldChar w:fldCharType="begin"/>
        </w:r>
        <w:r w:rsidR="00AD5C5B">
          <w:rPr>
            <w:noProof/>
            <w:webHidden/>
          </w:rPr>
          <w:instrText xml:space="preserve"> PAGEREF _Toc238579069 \h </w:instrText>
        </w:r>
        <w:r w:rsidR="00AD5C5B">
          <w:rPr>
            <w:noProof/>
            <w:webHidden/>
          </w:rPr>
        </w:r>
        <w:r w:rsidR="00AD5C5B">
          <w:rPr>
            <w:noProof/>
            <w:webHidden/>
          </w:rPr>
          <w:fldChar w:fldCharType="separate"/>
        </w:r>
        <w:r w:rsidR="00AD5C5B">
          <w:rPr>
            <w:noProof/>
            <w:webHidden/>
          </w:rPr>
          <w:t>17</w:t>
        </w:r>
        <w:r w:rsidR="00AD5C5B">
          <w:rPr>
            <w:noProof/>
            <w:webHidden/>
          </w:rPr>
          <w:fldChar w:fldCharType="end"/>
        </w:r>
      </w:hyperlink>
    </w:p>
    <w:p w14:paraId="61DA2ED0" w14:textId="234C7FAB" w:rsidR="00AD5C5B" w:rsidRPr="000A7732" w:rsidRDefault="00000000">
      <w:pPr>
        <w:pStyle w:val="TableofFigures"/>
        <w:tabs>
          <w:tab w:val="right" w:leader="dot" w:pos="9350"/>
        </w:tabs>
        <w:rPr>
          <w:rStyle w:val="Hyperlink"/>
          <w:rFonts w:ascii="Times New Roman" w:hAnsi="Times New Roman" w:cs="Times New Roman"/>
        </w:rPr>
      </w:pPr>
      <w:hyperlink w:anchor="_Toc238579070" w:history="1">
        <w:r w:rsidR="00AD5C5B" w:rsidRPr="000A7732">
          <w:rPr>
            <w:rStyle w:val="Hyperlink"/>
            <w:rFonts w:ascii="Times New Roman" w:hAnsi="Times New Roman" w:cs="Times New Roman"/>
            <w:noProof/>
          </w:rPr>
          <w:t xml:space="preserve">Figure </w:t>
        </w:r>
        <w:r w:rsidR="000A7732">
          <w:rPr>
            <w:rStyle w:val="Hyperlink"/>
            <w:rFonts w:ascii="Times New Roman" w:hAnsi="Times New Roman" w:cs="Times New Roman"/>
            <w:noProof/>
          </w:rPr>
          <w:t>5</w:t>
        </w:r>
        <w:r w:rsidR="00AD5C5B" w:rsidRPr="000A7732">
          <w:rPr>
            <w:rStyle w:val="Hyperlink"/>
            <w:rFonts w:ascii="Times New Roman" w:hAnsi="Times New Roman" w:cs="Times New Roman"/>
            <w:noProof/>
          </w:rPr>
          <w:t>: BPMN 2.0 Process Model of the Administrative Procedure for the national temporary labour scheme (Migration Code L. 5038/2023)</w:t>
        </w:r>
        <w:r w:rsidR="00AD5C5B" w:rsidRPr="000A7732">
          <w:rPr>
            <w:rStyle w:val="Hyperlink"/>
            <w:rFonts w:ascii="Times New Roman" w:hAnsi="Times New Roman" w:cs="Times New Roman"/>
            <w:noProof/>
            <w:webHidden/>
          </w:rPr>
          <w:tab/>
        </w:r>
        <w:r w:rsidR="00AD5C5B" w:rsidRPr="000A7732">
          <w:rPr>
            <w:rStyle w:val="Hyperlink"/>
            <w:rFonts w:ascii="Times New Roman" w:hAnsi="Times New Roman" w:cs="Times New Roman"/>
            <w:noProof/>
            <w:webHidden/>
          </w:rPr>
          <w:fldChar w:fldCharType="begin"/>
        </w:r>
        <w:r w:rsidR="00AD5C5B" w:rsidRPr="000A7732">
          <w:rPr>
            <w:rStyle w:val="Hyperlink"/>
            <w:rFonts w:ascii="Times New Roman" w:hAnsi="Times New Roman" w:cs="Times New Roman"/>
            <w:noProof/>
            <w:webHidden/>
          </w:rPr>
          <w:instrText xml:space="preserve"> PAGEREF _Toc238579070 \h </w:instrText>
        </w:r>
        <w:r w:rsidR="00AD5C5B" w:rsidRPr="000A7732">
          <w:rPr>
            <w:rStyle w:val="Hyperlink"/>
            <w:rFonts w:ascii="Times New Roman" w:hAnsi="Times New Roman" w:cs="Times New Roman"/>
            <w:noProof/>
            <w:webHidden/>
          </w:rPr>
        </w:r>
        <w:r w:rsidR="00AD5C5B" w:rsidRPr="000A7732">
          <w:rPr>
            <w:rStyle w:val="Hyperlink"/>
            <w:rFonts w:ascii="Times New Roman" w:hAnsi="Times New Roman" w:cs="Times New Roman"/>
            <w:noProof/>
            <w:webHidden/>
          </w:rPr>
          <w:fldChar w:fldCharType="separate"/>
        </w:r>
        <w:r w:rsidR="00AD5C5B" w:rsidRPr="000A7732">
          <w:rPr>
            <w:rStyle w:val="Hyperlink"/>
            <w:rFonts w:ascii="Times New Roman" w:hAnsi="Times New Roman" w:cs="Times New Roman"/>
            <w:noProof/>
            <w:webHidden/>
          </w:rPr>
          <w:t>20</w:t>
        </w:r>
        <w:r w:rsidR="00AD5C5B" w:rsidRPr="000A7732">
          <w:rPr>
            <w:rStyle w:val="Hyperlink"/>
            <w:rFonts w:ascii="Times New Roman" w:hAnsi="Times New Roman" w:cs="Times New Roman"/>
            <w:noProof/>
            <w:webHidden/>
          </w:rPr>
          <w:fldChar w:fldCharType="end"/>
        </w:r>
      </w:hyperlink>
    </w:p>
    <w:p w14:paraId="42B01DED" w14:textId="0A42BAA8" w:rsidR="00AC2A63" w:rsidRDefault="004E225F">
      <w:pPr>
        <w:spacing w:line="360" w:lineRule="auto"/>
        <w:jc w:val="both"/>
        <w:rPr>
          <w:rFonts w:ascii="Times New Roman" w:eastAsia="Times New Roman" w:hAnsi="Times New Roman" w:cs="Times New Roman"/>
          <w:b/>
          <w:bCs/>
          <w:lang w:val="el-GR"/>
        </w:rPr>
      </w:pPr>
      <w:r>
        <w:rPr>
          <w:rFonts w:ascii="Times New Roman" w:eastAsia="Times New Roman" w:hAnsi="Times New Roman" w:cs="Times New Roman"/>
          <w:b/>
          <w:bCs/>
        </w:rPr>
        <w:fldChar w:fldCharType="end"/>
      </w:r>
    </w:p>
    <w:p w14:paraId="03FC273A" w14:textId="77777777" w:rsidR="004E225F" w:rsidRDefault="004E225F">
      <w:pPr>
        <w:spacing w:line="360" w:lineRule="auto"/>
        <w:jc w:val="both"/>
        <w:rPr>
          <w:rFonts w:ascii="Times New Roman" w:eastAsia="Times New Roman" w:hAnsi="Times New Roman" w:cs="Times New Roman"/>
          <w:b/>
          <w:bCs/>
          <w:lang w:val="el-GR"/>
        </w:rPr>
      </w:pPr>
    </w:p>
    <w:p w14:paraId="2CDDE596" w14:textId="77777777" w:rsidR="004E225F" w:rsidRDefault="004E225F">
      <w:pPr>
        <w:spacing w:line="360" w:lineRule="auto"/>
        <w:jc w:val="both"/>
        <w:rPr>
          <w:rFonts w:ascii="Times New Roman" w:eastAsia="Times New Roman" w:hAnsi="Times New Roman" w:cs="Times New Roman"/>
          <w:b/>
          <w:bCs/>
          <w:lang w:val="el-GR"/>
        </w:rPr>
      </w:pPr>
    </w:p>
    <w:p w14:paraId="00B5C8D9" w14:textId="66791851" w:rsidR="004E225F" w:rsidRPr="004E225F" w:rsidRDefault="004E225F">
      <w:pPr>
        <w:spacing w:line="360" w:lineRule="auto"/>
        <w:jc w:val="both"/>
        <w:rPr>
          <w:rFonts w:ascii="Times New Roman" w:eastAsia="Times New Roman" w:hAnsi="Times New Roman" w:cs="Times New Roman"/>
          <w:b/>
          <w:bCs/>
          <w:lang w:val="el-GR"/>
        </w:rPr>
      </w:pPr>
      <w:r w:rsidRPr="004E225F">
        <w:rPr>
          <w:rFonts w:ascii="Times New Roman" w:eastAsia="Times New Roman" w:hAnsi="Times New Roman" w:cs="Times New Roman"/>
          <w:b/>
          <w:bCs/>
        </w:rPr>
        <w:t>List of Tables</w:t>
      </w:r>
    </w:p>
    <w:p w14:paraId="5AE31B98" w14:textId="1846B5DB" w:rsidR="004E225F" w:rsidRDefault="004E225F">
      <w:pPr>
        <w:pStyle w:val="TableofFigures"/>
        <w:tabs>
          <w:tab w:val="right" w:leader="dot" w:pos="9350"/>
        </w:tabs>
        <w:rPr>
          <w:rFonts w:asciiTheme="minorHAnsi" w:eastAsiaTheme="minorEastAsia" w:hAnsiTheme="minorHAnsi" w:cstheme="minorBidi"/>
          <w:noProof/>
          <w:kern w:val="2"/>
          <w:lang w:val="en-US"/>
          <w14:ligatures w14:val="standardContextual"/>
        </w:rPr>
      </w:pPr>
      <w:r>
        <w:rPr>
          <w:rFonts w:ascii="Times New Roman" w:eastAsia="Times New Roman" w:hAnsi="Times New Roman" w:cs="Times New Roman"/>
          <w:b/>
          <w:bCs/>
          <w:lang w:val="el-GR"/>
        </w:rPr>
        <w:fldChar w:fldCharType="begin"/>
      </w:r>
      <w:r>
        <w:rPr>
          <w:rFonts w:ascii="Times New Roman" w:eastAsia="Times New Roman" w:hAnsi="Times New Roman" w:cs="Times New Roman"/>
          <w:b/>
          <w:bCs/>
          <w:lang w:val="el-GR"/>
        </w:rPr>
        <w:instrText xml:space="preserve"> TOC \h \z \c "Table" </w:instrText>
      </w:r>
      <w:r>
        <w:rPr>
          <w:rFonts w:ascii="Times New Roman" w:eastAsia="Times New Roman" w:hAnsi="Times New Roman" w:cs="Times New Roman"/>
          <w:b/>
          <w:bCs/>
          <w:lang w:val="el-GR"/>
        </w:rPr>
        <w:fldChar w:fldCharType="separate"/>
      </w:r>
      <w:hyperlink w:anchor="_Toc236571875" w:history="1">
        <w:r w:rsidRPr="00753049">
          <w:rPr>
            <w:rStyle w:val="Hyperlink"/>
            <w:rFonts w:ascii="Times New Roman" w:hAnsi="Times New Roman" w:cs="Times New Roman"/>
            <w:noProof/>
          </w:rPr>
          <w:t>Table 1: Job Vacancy Rate (JVR %) in Key Economic Sectors: Greece (EL) vs. European Union Average (EU-27)</w:t>
        </w:r>
        <w:r>
          <w:rPr>
            <w:noProof/>
            <w:webHidden/>
          </w:rPr>
          <w:tab/>
        </w:r>
        <w:r>
          <w:rPr>
            <w:noProof/>
            <w:webHidden/>
          </w:rPr>
          <w:fldChar w:fldCharType="begin"/>
        </w:r>
        <w:r>
          <w:rPr>
            <w:noProof/>
            <w:webHidden/>
          </w:rPr>
          <w:instrText xml:space="preserve"> PAGEREF _Toc236571875 \h </w:instrText>
        </w:r>
        <w:r>
          <w:rPr>
            <w:noProof/>
            <w:webHidden/>
          </w:rPr>
        </w:r>
        <w:r>
          <w:rPr>
            <w:noProof/>
            <w:webHidden/>
          </w:rPr>
          <w:fldChar w:fldCharType="separate"/>
        </w:r>
        <w:r>
          <w:rPr>
            <w:noProof/>
            <w:webHidden/>
          </w:rPr>
          <w:t>12</w:t>
        </w:r>
        <w:r>
          <w:rPr>
            <w:noProof/>
            <w:webHidden/>
          </w:rPr>
          <w:fldChar w:fldCharType="end"/>
        </w:r>
      </w:hyperlink>
    </w:p>
    <w:p w14:paraId="3A241ADB" w14:textId="60121BA7" w:rsidR="00AC2A63" w:rsidRDefault="004E225F">
      <w:pPr>
        <w:spacing w:line="360" w:lineRule="auto"/>
        <w:jc w:val="both"/>
        <w:rPr>
          <w:rFonts w:ascii="Times New Roman" w:eastAsia="Times New Roman" w:hAnsi="Times New Roman" w:cs="Times New Roman"/>
          <w:b/>
          <w:bCs/>
          <w:lang w:val="el-GR"/>
        </w:rPr>
      </w:pPr>
      <w:r>
        <w:rPr>
          <w:rFonts w:ascii="Times New Roman" w:eastAsia="Times New Roman" w:hAnsi="Times New Roman" w:cs="Times New Roman"/>
          <w:b/>
          <w:bCs/>
          <w:lang w:val="el-GR"/>
        </w:rPr>
        <w:fldChar w:fldCharType="end"/>
      </w:r>
    </w:p>
    <w:p w14:paraId="4485E6BD" w14:textId="77777777" w:rsidR="004E225F" w:rsidRDefault="004E225F">
      <w:pPr>
        <w:spacing w:line="360" w:lineRule="auto"/>
        <w:jc w:val="both"/>
        <w:rPr>
          <w:rFonts w:ascii="Times New Roman" w:eastAsia="Times New Roman" w:hAnsi="Times New Roman" w:cs="Times New Roman"/>
          <w:b/>
          <w:bCs/>
          <w:lang w:val="el-GR"/>
        </w:rPr>
      </w:pPr>
    </w:p>
    <w:p w14:paraId="54EED04E" w14:textId="77777777" w:rsidR="004E225F" w:rsidRDefault="004E225F">
      <w:pPr>
        <w:spacing w:line="360" w:lineRule="auto"/>
        <w:jc w:val="both"/>
        <w:rPr>
          <w:rFonts w:ascii="Times New Roman" w:eastAsia="Times New Roman" w:hAnsi="Times New Roman" w:cs="Times New Roman"/>
          <w:b/>
          <w:bCs/>
          <w:lang w:val="el-GR"/>
        </w:rPr>
      </w:pPr>
    </w:p>
    <w:p w14:paraId="46A4E0DB" w14:textId="77777777" w:rsidR="004E225F" w:rsidRDefault="004E225F">
      <w:pPr>
        <w:spacing w:line="360" w:lineRule="auto"/>
        <w:jc w:val="both"/>
        <w:rPr>
          <w:rFonts w:ascii="Times New Roman" w:eastAsia="Times New Roman" w:hAnsi="Times New Roman" w:cs="Times New Roman"/>
          <w:b/>
          <w:bCs/>
          <w:lang w:val="el-GR"/>
        </w:rPr>
      </w:pPr>
    </w:p>
    <w:p w14:paraId="1308B84F" w14:textId="77777777" w:rsidR="004E225F" w:rsidRDefault="004E225F">
      <w:pPr>
        <w:spacing w:line="360" w:lineRule="auto"/>
        <w:jc w:val="both"/>
        <w:rPr>
          <w:rFonts w:ascii="Times New Roman" w:eastAsia="Times New Roman" w:hAnsi="Times New Roman" w:cs="Times New Roman"/>
          <w:b/>
          <w:bCs/>
          <w:lang w:val="el-GR"/>
        </w:rPr>
      </w:pPr>
    </w:p>
    <w:p w14:paraId="400D96D3" w14:textId="77777777" w:rsidR="004E225F" w:rsidRDefault="004E225F">
      <w:pPr>
        <w:spacing w:line="360" w:lineRule="auto"/>
        <w:jc w:val="both"/>
        <w:rPr>
          <w:rFonts w:ascii="Times New Roman" w:eastAsia="Times New Roman" w:hAnsi="Times New Roman" w:cs="Times New Roman"/>
          <w:b/>
          <w:bCs/>
          <w:lang w:val="el-GR"/>
        </w:rPr>
      </w:pPr>
    </w:p>
    <w:p w14:paraId="4E554A68" w14:textId="77777777" w:rsidR="004E225F" w:rsidRDefault="004E225F">
      <w:pPr>
        <w:spacing w:line="360" w:lineRule="auto"/>
        <w:jc w:val="both"/>
        <w:rPr>
          <w:rFonts w:ascii="Times New Roman" w:eastAsia="Times New Roman" w:hAnsi="Times New Roman" w:cs="Times New Roman"/>
          <w:b/>
          <w:bCs/>
          <w:lang w:val="el-GR"/>
        </w:rPr>
      </w:pPr>
    </w:p>
    <w:p w14:paraId="59F104ED" w14:textId="77777777" w:rsidR="004E225F" w:rsidRDefault="004E225F">
      <w:pPr>
        <w:spacing w:line="360" w:lineRule="auto"/>
        <w:jc w:val="both"/>
        <w:rPr>
          <w:rFonts w:ascii="Times New Roman" w:eastAsia="Times New Roman" w:hAnsi="Times New Roman" w:cs="Times New Roman"/>
          <w:b/>
          <w:bCs/>
          <w:lang w:val="el-GR"/>
        </w:rPr>
      </w:pPr>
    </w:p>
    <w:p w14:paraId="1897AEC2" w14:textId="77777777" w:rsidR="004E225F" w:rsidRDefault="004E225F">
      <w:pPr>
        <w:spacing w:line="360" w:lineRule="auto"/>
        <w:jc w:val="both"/>
        <w:rPr>
          <w:rFonts w:ascii="Times New Roman" w:eastAsia="Times New Roman" w:hAnsi="Times New Roman" w:cs="Times New Roman"/>
          <w:b/>
          <w:bCs/>
          <w:lang w:val="el-GR"/>
        </w:rPr>
      </w:pPr>
    </w:p>
    <w:p w14:paraId="35C33EB6" w14:textId="77777777" w:rsidR="004E225F" w:rsidRPr="004E225F" w:rsidRDefault="004E225F">
      <w:pPr>
        <w:spacing w:line="360" w:lineRule="auto"/>
        <w:jc w:val="both"/>
        <w:rPr>
          <w:rFonts w:ascii="Times New Roman" w:eastAsia="Times New Roman" w:hAnsi="Times New Roman" w:cs="Times New Roman"/>
          <w:b/>
          <w:bCs/>
          <w:lang w:val="el-GR"/>
        </w:rPr>
      </w:pPr>
    </w:p>
    <w:p w14:paraId="16271828" w14:textId="77777777" w:rsidR="00AC2A63" w:rsidRPr="00EF4218" w:rsidRDefault="00000000" w:rsidP="006110D5">
      <w:pPr>
        <w:spacing w:line="480" w:lineRule="auto"/>
        <w:jc w:val="both"/>
        <w:rPr>
          <w:rFonts w:ascii="Times New Roman" w:eastAsia="Times New Roman" w:hAnsi="Times New Roman" w:cs="Times New Roman"/>
          <w:b/>
          <w:bCs/>
        </w:rPr>
      </w:pPr>
      <w:r w:rsidRPr="00EF4218">
        <w:rPr>
          <w:rFonts w:ascii="Times New Roman" w:eastAsia="Times New Roman" w:hAnsi="Times New Roman" w:cs="Times New Roman"/>
          <w:b/>
          <w:bCs/>
        </w:rPr>
        <w:t>Abstract</w:t>
      </w:r>
    </w:p>
    <w:p w14:paraId="74D66CC7"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This paper examines the strategies of European and Greek Employment Policies in addressing structural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shortages. Specifically, it analyses the efficacy of institutional mechanisms designed to bolster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supply via two distinct flows: the importation of human capital from third countries, and the repatriation of the domestic scientific workforce (Brain Gain) to Greece.</w:t>
      </w:r>
    </w:p>
    <w:p w14:paraId="6117FB9D" w14:textId="639DB1C0"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The methodology </w:t>
      </w:r>
      <w:proofErr w:type="spellStart"/>
      <w:r w:rsidRPr="00EF4218">
        <w:rPr>
          <w:rFonts w:ascii="Times New Roman" w:eastAsia="Times New Roman" w:hAnsi="Times New Roman" w:cs="Times New Roman"/>
        </w:rPr>
        <w:t>synthesises</w:t>
      </w:r>
      <w:proofErr w:type="spellEnd"/>
      <w:r w:rsidRPr="00EF4218">
        <w:rPr>
          <w:rFonts w:ascii="Times New Roman" w:eastAsia="Times New Roman" w:hAnsi="Times New Roman" w:cs="Times New Roman"/>
        </w:rPr>
        <w:t xml:space="preserve"> a critical analysis of the institutional framework (the external dimension of the New Pact on Migration and Asylum, </w:t>
      </w:r>
      <w:r w:rsidR="00D82C77">
        <w:rPr>
          <w:rFonts w:ascii="Times New Roman" w:eastAsia="Times New Roman" w:hAnsi="Times New Roman" w:cs="Times New Roman"/>
          <w:lang w:val="en-US"/>
        </w:rPr>
        <w:t xml:space="preserve">the Guideline 6 of the European Employment policy, </w:t>
      </w:r>
      <w:r w:rsidRPr="00EF4218">
        <w:rPr>
          <w:rFonts w:ascii="Times New Roman" w:eastAsia="Times New Roman" w:hAnsi="Times New Roman" w:cs="Times New Roman"/>
        </w:rPr>
        <w:t xml:space="preserve">the EU Talent Pool, and the National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with an empirical investigation of macroeconomic demand indicators. The objective is to evaluate the compatibility of supranational designs with the actual requirements of the Greek economy.</w:t>
      </w:r>
    </w:p>
    <w:p w14:paraId="701C9079"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The findings substantiate a clear structural mismatch between European policy and domestic demand. The Greek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urgently requires a large volume of low- and medium-skilled personnel. Bilateral agreements currently bridge this gap in a fragmented manner. Conversely, the EU </w:t>
      </w:r>
      <w:proofErr w:type="spellStart"/>
      <w:r w:rsidRPr="00EF4218">
        <w:rPr>
          <w:rFonts w:ascii="Times New Roman" w:eastAsia="Times New Roman" w:hAnsi="Times New Roman" w:cs="Times New Roman"/>
        </w:rPr>
        <w:t>prioritises</w:t>
      </w:r>
      <w:proofErr w:type="spellEnd"/>
      <w:r w:rsidRPr="00EF4218">
        <w:rPr>
          <w:rFonts w:ascii="Times New Roman" w:eastAsia="Times New Roman" w:hAnsi="Times New Roman" w:cs="Times New Roman"/>
        </w:rPr>
        <w:t xml:space="preserve"> the EU Talent Pool. This instrument operates de jure-and even more so, de facto- as a mechanism to attract highly skilled "talents". Furthermore, a strategic paradox emerges for Greece. The policy of importing </w:t>
      </w:r>
      <w:proofErr w:type="spellStart"/>
      <w:r w:rsidRPr="00EF4218">
        <w:rPr>
          <w:rFonts w:ascii="Times New Roman" w:eastAsia="Times New Roman" w:hAnsi="Times New Roman" w:cs="Times New Roman"/>
        </w:rPr>
        <w:t>specialised</w:t>
      </w:r>
      <w:proofErr w:type="spellEnd"/>
      <w:r w:rsidRPr="00EF4218">
        <w:rPr>
          <w:rFonts w:ascii="Times New Roman" w:eastAsia="Times New Roman" w:hAnsi="Times New Roman" w:cs="Times New Roman"/>
        </w:rPr>
        <w:t xml:space="preserve"> professionals conflicts with the urgent need to halt the Brain Drain, thereby rendering repatriation policies a central priority.</w:t>
      </w:r>
    </w:p>
    <w:p w14:paraId="12DF5504" w14:textId="707807AA"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In conclusion, the study maintains that the horizontal implementation of European tools proves inadequate. Employment Policy requires systemic recalibration. Primarily, the state must establish legal migration pathways for </w:t>
      </w:r>
      <w:r w:rsidR="00F83CD1" w:rsidRPr="00F83CD1">
        <w:rPr>
          <w:rFonts w:ascii="Times New Roman" w:eastAsia="Times New Roman" w:hAnsi="Times New Roman" w:cs="Times New Roman"/>
        </w:rPr>
        <w:t>vocational</w:t>
      </w:r>
      <w:r w:rsidR="00F83CD1" w:rsidRPr="00F83CD1">
        <w:rPr>
          <w:rFonts w:ascii="Times New Roman" w:eastAsia="Times New Roman" w:hAnsi="Times New Roman" w:cs="Times New Roman"/>
          <w:lang w:val="en-US"/>
        </w:rPr>
        <w:t xml:space="preserve"> </w:t>
      </w:r>
      <w:r w:rsidRPr="00EF4218">
        <w:rPr>
          <w:rFonts w:ascii="Times New Roman" w:eastAsia="Times New Roman" w:hAnsi="Times New Roman" w:cs="Times New Roman"/>
        </w:rPr>
        <w:t xml:space="preserve">and low-skilled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concurrently strengthening the </w:t>
      </w:r>
      <w:r w:rsidRPr="00EF4218">
        <w:rPr>
          <w:rFonts w:ascii="Times New Roman" w:eastAsia="Times New Roman" w:hAnsi="Times New Roman" w:cs="Times New Roman"/>
        </w:rPr>
        <w:lastRenderedPageBreak/>
        <w:t>administrative capacity of competent authorities. Furthermore, for highly skilled professionals, bolstering repatriation incentives constitutes the optimal national strategy.</w:t>
      </w:r>
    </w:p>
    <w:p w14:paraId="34A90DF1" w14:textId="18CEC919" w:rsidR="00094427" w:rsidRPr="003212EC" w:rsidRDefault="00000000"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Keywords: Employment Policy, Human Capital, EU Talent Pool,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Repatriation (Brain Gain),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Shortages.</w:t>
      </w:r>
    </w:p>
    <w:p w14:paraId="231C734F" w14:textId="77777777" w:rsidR="00AC2A63" w:rsidRPr="00EF4218" w:rsidRDefault="00000000" w:rsidP="006110D5">
      <w:pPr>
        <w:pStyle w:val="Heading1"/>
        <w:spacing w:line="480" w:lineRule="auto"/>
        <w:rPr>
          <w:rFonts w:ascii="Times New Roman" w:eastAsia="Times New Roman" w:hAnsi="Times New Roman" w:cs="Times New Roman"/>
          <w:b/>
          <w:bCs/>
          <w:color w:val="000000"/>
          <w:sz w:val="24"/>
          <w:szCs w:val="24"/>
        </w:rPr>
      </w:pPr>
      <w:bookmarkStart w:id="0" w:name="_Toc239090977"/>
      <w:r w:rsidRPr="00EF4218">
        <w:rPr>
          <w:rFonts w:ascii="Times New Roman" w:eastAsia="Times New Roman" w:hAnsi="Times New Roman" w:cs="Times New Roman"/>
          <w:b/>
          <w:bCs/>
          <w:color w:val="000000"/>
          <w:sz w:val="24"/>
          <w:szCs w:val="24"/>
        </w:rPr>
        <w:t>Chapter 1. Introduction</w:t>
      </w:r>
      <w:bookmarkEnd w:id="0"/>
    </w:p>
    <w:p w14:paraId="15805F0A"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The Greek economy, currently recovering from a prolonged crisis, features a dual productive reality that diverges structurally from core European planning. The domestic productive paradigm remains heavily dependent on </w:t>
      </w:r>
      <w:proofErr w:type="spellStart"/>
      <w:r w:rsidRPr="00EF4218">
        <w:rPr>
          <w:rFonts w:ascii="Times New Roman" w:eastAsia="Times New Roman" w:hAnsi="Times New Roman" w:cs="Times New Roman"/>
        </w:rPr>
        <w:t>labour-intensive</w:t>
      </w:r>
      <w:proofErr w:type="spellEnd"/>
      <w:r w:rsidRPr="00EF4218">
        <w:rPr>
          <w:rFonts w:ascii="Times New Roman" w:eastAsia="Times New Roman" w:hAnsi="Times New Roman" w:cs="Times New Roman"/>
        </w:rPr>
        <w:t xml:space="preserve"> and low-value-added sectors (Tourism, Accommodation and Food Services, Construction, and Agriculture). Consequently, the manifested demand among Greek employers does not primarily target highly skilled human capital oriented towards the Fourth Industrial Revolution, instead, it requires a massive volume of unskilled or semi-skilled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w:t>
      </w:r>
    </w:p>
    <w:p w14:paraId="78CAC517"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Concurrently, regarding highly skilled human capital, Greece suffers the consequences of a massive scientific outflow (brain drain). Therefore, the strategic objective for the Greek state is not exclusively the importation of new, foreign "talents", which the domestic market already struggles to absorb, but rather halting this outflow and achieving the repatriation of the domestic scientific workforce (brain gain).</w:t>
      </w:r>
    </w:p>
    <w:p w14:paraId="15F807FB"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Based on the above, the research problem of this study </w:t>
      </w:r>
      <w:proofErr w:type="spellStart"/>
      <w:r w:rsidRPr="00EF4218">
        <w:rPr>
          <w:rFonts w:ascii="Times New Roman" w:eastAsia="Times New Roman" w:hAnsi="Times New Roman" w:cs="Times New Roman"/>
        </w:rPr>
        <w:t>centres</w:t>
      </w:r>
      <w:proofErr w:type="spellEnd"/>
      <w:r w:rsidRPr="00EF4218">
        <w:rPr>
          <w:rFonts w:ascii="Times New Roman" w:eastAsia="Times New Roman" w:hAnsi="Times New Roman" w:cs="Times New Roman"/>
        </w:rPr>
        <w:t xml:space="preserve"> on a structural contradiction, questioning the extent to which supranational tools, such as the EU Talent Pool, can find functional application in the Greek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These tools were primarily designed to supply cutting-edge industries. Conversely, Greece fills its primary and secondary sector vacancies with migrant </w:t>
      </w:r>
      <w:r w:rsidRPr="00EF4218">
        <w:rPr>
          <w:rFonts w:ascii="Times New Roman" w:eastAsia="Times New Roman" w:hAnsi="Times New Roman" w:cs="Times New Roman"/>
        </w:rPr>
        <w:lastRenderedPageBreak/>
        <w:t xml:space="preserve">workers through institutional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or informal pathways, while simultaneously seeking to repatriate its own scientists.</w:t>
      </w:r>
    </w:p>
    <w:p w14:paraId="6756EF23"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The primary objective of this research is to evaluate the degree of compatibility between the European strategy for attracting talent -as a core pillar of Employment Policy- and the actual, structural needs of the Greek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The analysis is guided by the following four central research questions:</w:t>
      </w:r>
    </w:p>
    <w:p w14:paraId="0D211272"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b/>
          <w:bCs/>
        </w:rPr>
        <w:t xml:space="preserve">1. </w:t>
      </w:r>
      <w:bookmarkStart w:id="1" w:name="_Hlk238485557"/>
      <w:r w:rsidRPr="00EF4218">
        <w:rPr>
          <w:rFonts w:ascii="Times New Roman" w:eastAsia="Times New Roman" w:hAnsi="Times New Roman" w:cs="Times New Roman"/>
          <w:b/>
          <w:bCs/>
        </w:rPr>
        <w:t>Identifying the Nature of Demand:</w:t>
      </w:r>
      <w:r w:rsidRPr="00EF4218">
        <w:rPr>
          <w:rFonts w:ascii="Times New Roman" w:eastAsia="Times New Roman" w:hAnsi="Times New Roman" w:cs="Times New Roman"/>
        </w:rPr>
        <w:t xml:space="preserve"> </w:t>
      </w:r>
      <w:bookmarkEnd w:id="1"/>
      <w:r w:rsidRPr="00EF4218">
        <w:rPr>
          <w:rFonts w:ascii="Times New Roman" w:eastAsia="Times New Roman" w:hAnsi="Times New Roman" w:cs="Times New Roman"/>
        </w:rPr>
        <w:t xml:space="preserve">What are the qualitative and quantitative characteristics of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demand within the Greek economy, as reflected in the Job Vacancy Rate (JVR) and official employer requests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To what extent does this demand target highly skilled competencies -the primary focus of the EU- rather than the unskilled, </w:t>
      </w:r>
      <w:proofErr w:type="spellStart"/>
      <w:r w:rsidRPr="00EF4218">
        <w:rPr>
          <w:rFonts w:ascii="Times New Roman" w:eastAsia="Times New Roman" w:hAnsi="Times New Roman" w:cs="Times New Roman"/>
        </w:rPr>
        <w:t>labour-intensive</w:t>
      </w:r>
      <w:proofErr w:type="spellEnd"/>
      <w:r w:rsidRPr="00EF4218">
        <w:rPr>
          <w:rFonts w:ascii="Times New Roman" w:eastAsia="Times New Roman" w:hAnsi="Times New Roman" w:cs="Times New Roman"/>
        </w:rPr>
        <w:t xml:space="preserve"> workforce currently dominating the domestic market?</w:t>
      </w:r>
    </w:p>
    <w:p w14:paraId="48CD5523"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b/>
          <w:bCs/>
        </w:rPr>
        <w:t>2. Institutional Compatibility of the Talent Pool Regulation:</w:t>
      </w:r>
      <w:r w:rsidRPr="00EF4218">
        <w:rPr>
          <w:rFonts w:ascii="Times New Roman" w:eastAsia="Times New Roman" w:hAnsi="Times New Roman" w:cs="Times New Roman"/>
        </w:rPr>
        <w:t xml:space="preserve"> Given the design of the </w:t>
      </w:r>
      <w:r w:rsidRPr="00025E6E">
        <w:rPr>
          <w:rFonts w:ascii="Times New Roman" w:eastAsia="Times New Roman" w:hAnsi="Times New Roman" w:cs="Times New Roman"/>
        </w:rPr>
        <w:t>EU Talent Pool as</w:t>
      </w:r>
      <w:r w:rsidRPr="00EF4218">
        <w:rPr>
          <w:rFonts w:ascii="Times New Roman" w:eastAsia="Times New Roman" w:hAnsi="Times New Roman" w:cs="Times New Roman"/>
        </w:rPr>
        <w:t xml:space="preserve"> a voluntary mechanism, to what extent can this instrument achieve effective implementation in Greece? Does it provide a sustainable solution for the Greek productive paradigm, or does it constitute a profound institutional mismatch? </w:t>
      </w:r>
    </w:p>
    <w:p w14:paraId="084802A0"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b/>
          <w:bCs/>
        </w:rPr>
        <w:t>3. National Strategy. Brain Gain vs Brain Drain:</w:t>
      </w:r>
      <w:r w:rsidRPr="00EF4218">
        <w:rPr>
          <w:rFonts w:ascii="Times New Roman" w:eastAsia="Times New Roman" w:hAnsi="Times New Roman" w:cs="Times New Roman"/>
        </w:rPr>
        <w:t xml:space="preserve"> Greece currently operates as an exporter of scientific personnel (brain drain). Considering this reality, should the substantive implementation of a "talent policy" focus on repatriating the domestic workforce (Brain Gain) rather than importing third-country nationals?</w:t>
      </w:r>
    </w:p>
    <w:p w14:paraId="4D995E9C" w14:textId="46A8AD69"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b/>
          <w:bCs/>
        </w:rPr>
        <w:t>4. Critical Assessment:</w:t>
      </w:r>
      <w:r w:rsidRPr="00EF4218">
        <w:rPr>
          <w:rFonts w:ascii="Times New Roman" w:eastAsia="Times New Roman" w:hAnsi="Times New Roman" w:cs="Times New Roman"/>
        </w:rPr>
        <w:t xml:space="preserve"> To what extent does the EU emphasis on attracting </w:t>
      </w:r>
      <w:proofErr w:type="spellStart"/>
      <w:r w:rsidRPr="00EF4218">
        <w:rPr>
          <w:rFonts w:ascii="Times New Roman" w:eastAsia="Times New Roman" w:hAnsi="Times New Roman" w:cs="Times New Roman"/>
        </w:rPr>
        <w:t>specialised</w:t>
      </w:r>
      <w:proofErr w:type="spellEnd"/>
      <w:r w:rsidRPr="00EF4218">
        <w:rPr>
          <w:rFonts w:ascii="Times New Roman" w:eastAsia="Times New Roman" w:hAnsi="Times New Roman" w:cs="Times New Roman"/>
        </w:rPr>
        <w:t xml:space="preserve"> personnel and establishing a platform align with the actual, existing needs of the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Given that </w:t>
      </w:r>
      <w:r w:rsidRPr="00EF4218">
        <w:rPr>
          <w:rFonts w:ascii="Times New Roman" w:eastAsia="Times New Roman" w:hAnsi="Times New Roman" w:cs="Times New Roman"/>
        </w:rPr>
        <w:lastRenderedPageBreak/>
        <w:t xml:space="preserve">the highest recorded demand within the Greek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concentrates on low-skilled and unskilled positions</w:t>
      </w:r>
      <w:r w:rsidR="00657A15" w:rsidRPr="00AC611A">
        <w:rPr>
          <w:rFonts w:ascii="Times New Roman" w:eastAsia="Times New Roman" w:hAnsi="Times New Roman" w:cs="Times New Roman"/>
          <w:lang w:val="en-US"/>
        </w:rPr>
        <w:t>,</w:t>
      </w:r>
      <w:r w:rsidR="007459EB" w:rsidRPr="007459EB">
        <w:t xml:space="preserve"> </w:t>
      </w:r>
      <w:r w:rsidR="007459EB" w:rsidRPr="007459EB">
        <w:rPr>
          <w:rFonts w:ascii="Times New Roman" w:eastAsia="Times New Roman" w:hAnsi="Times New Roman" w:cs="Times New Roman"/>
        </w:rPr>
        <w:t>the study analyses</w:t>
      </w:r>
      <w:r w:rsidR="007459EB">
        <w:rPr>
          <w:rFonts w:ascii="Times New Roman" w:eastAsia="Times New Roman" w:hAnsi="Times New Roman" w:cs="Times New Roman"/>
        </w:rPr>
        <w:t xml:space="preserve"> </w:t>
      </w:r>
      <w:r w:rsidRPr="00EF4218">
        <w:rPr>
          <w:rFonts w:ascii="Times New Roman" w:eastAsia="Times New Roman" w:hAnsi="Times New Roman" w:cs="Times New Roman"/>
        </w:rPr>
        <w:t>the institutional and social impacts of this mismatch.</w:t>
      </w:r>
    </w:p>
    <w:p w14:paraId="0FCF6024"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The central hypothesis of this study identifies a fundamental structural mismatch between European Employment Policy -</w:t>
      </w:r>
      <w:proofErr w:type="spellStart"/>
      <w:r w:rsidRPr="00EF4218">
        <w:rPr>
          <w:rFonts w:ascii="Times New Roman" w:eastAsia="Times New Roman" w:hAnsi="Times New Roman" w:cs="Times New Roman"/>
        </w:rPr>
        <w:t>institutionalised</w:t>
      </w:r>
      <w:proofErr w:type="spellEnd"/>
      <w:r w:rsidRPr="00EF4218">
        <w:rPr>
          <w:rFonts w:ascii="Times New Roman" w:eastAsia="Times New Roman" w:hAnsi="Times New Roman" w:cs="Times New Roman"/>
        </w:rPr>
        <w:t xml:space="preserve"> through the EU Talent Pool- and the actual requirements of the Greek economy. This hypothesis is structured along two prongs:</w:t>
      </w:r>
    </w:p>
    <w:p w14:paraId="21A7F3E9" w14:textId="6753C861"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Firstly, while the </w:t>
      </w:r>
      <w:r w:rsidR="00AC474E">
        <w:rPr>
          <w:rFonts w:ascii="Times New Roman" w:eastAsia="Times New Roman" w:hAnsi="Times New Roman" w:cs="Times New Roman"/>
        </w:rPr>
        <w:t>EU</w:t>
      </w:r>
      <w:r w:rsidRPr="00EF4218">
        <w:rPr>
          <w:rFonts w:ascii="Times New Roman" w:eastAsia="Times New Roman" w:hAnsi="Times New Roman" w:cs="Times New Roman"/>
        </w:rPr>
        <w:t xml:space="preserve"> strategy aims to attract highly skilled human capital to bridge the technological gap, the Greek productive paradigm (tourism, agriculture) requires a massive volume of low- and medium-skilled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Consequently, the elitist architecture of the EU Talent Pool proves functionally inadequate. This institutional asymmetry traps Greece in the fragmented solution of national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for unskilled personnel via bilateral agreements.</w:t>
      </w:r>
    </w:p>
    <w:p w14:paraId="4344F947"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Secondly, a strategic paradox emerges. </w:t>
      </w:r>
      <w:proofErr w:type="spellStart"/>
      <w:r w:rsidRPr="00EF4218">
        <w:rPr>
          <w:rFonts w:ascii="Times New Roman" w:eastAsia="Times New Roman" w:hAnsi="Times New Roman" w:cs="Times New Roman"/>
        </w:rPr>
        <w:t>Instrumentalising</w:t>
      </w:r>
      <w:proofErr w:type="spellEnd"/>
      <w:r w:rsidRPr="00EF4218">
        <w:rPr>
          <w:rFonts w:ascii="Times New Roman" w:eastAsia="Times New Roman" w:hAnsi="Times New Roman" w:cs="Times New Roman"/>
        </w:rPr>
        <w:t xml:space="preserve"> migration to import foreign "talents" contradicts the reality of a country exporting scientific personnel (brain drain). For Greece, the priority does not lie in importing third-country nationals. Rather, it lies in halting this outflow and actively repatriating domestic human capital (brain gain), while simultaneously </w:t>
      </w:r>
      <w:proofErr w:type="spellStart"/>
      <w:r w:rsidRPr="00EF4218">
        <w:rPr>
          <w:rFonts w:ascii="Times New Roman" w:eastAsia="Times New Roman" w:hAnsi="Times New Roman" w:cs="Times New Roman"/>
        </w:rPr>
        <w:t>mobilising</w:t>
      </w:r>
      <w:proofErr w:type="spellEnd"/>
      <w:r w:rsidRPr="00EF4218">
        <w:rPr>
          <w:rFonts w:ascii="Times New Roman" w:eastAsia="Times New Roman" w:hAnsi="Times New Roman" w:cs="Times New Roman"/>
        </w:rPr>
        <w:t xml:space="preserve"> the diaspora.</w:t>
      </w:r>
    </w:p>
    <w:p w14:paraId="481BE525"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To substantiate this structural mismatch, the study adopts a mixed-methods approach. The research strategy </w:t>
      </w:r>
      <w:proofErr w:type="spellStart"/>
      <w:r w:rsidRPr="00EF4218">
        <w:rPr>
          <w:rFonts w:ascii="Times New Roman" w:eastAsia="Times New Roman" w:hAnsi="Times New Roman" w:cs="Times New Roman"/>
        </w:rPr>
        <w:t>synthesises</w:t>
      </w:r>
      <w:proofErr w:type="spellEnd"/>
      <w:r w:rsidRPr="00EF4218">
        <w:rPr>
          <w:rFonts w:ascii="Times New Roman" w:eastAsia="Times New Roman" w:hAnsi="Times New Roman" w:cs="Times New Roman"/>
        </w:rPr>
        <w:t xml:space="preserve"> institutional analysis, quantitative processing of macroeconomic data, and qualitative field research, developing across three distinct axes:</w:t>
      </w:r>
    </w:p>
    <w:p w14:paraId="713299CD" w14:textId="51C31B81"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b/>
          <w:bCs/>
        </w:rPr>
        <w:t>A. Institutional and Policy Analysis (Desk Research):</w:t>
      </w:r>
      <w:r w:rsidRPr="00EF4218">
        <w:rPr>
          <w:rFonts w:ascii="Times New Roman" w:eastAsia="Times New Roman" w:hAnsi="Times New Roman" w:cs="Times New Roman"/>
        </w:rPr>
        <w:t xml:space="preserve"> This axis critically examines the European and national regulatory frameworks (the New Pact, the</w:t>
      </w:r>
      <w:r w:rsidR="00A10D10">
        <w:rPr>
          <w:rFonts w:ascii="Times New Roman" w:eastAsia="Times New Roman" w:hAnsi="Times New Roman" w:cs="Times New Roman"/>
        </w:rPr>
        <w:t xml:space="preserve"> guideline 6, and the</w:t>
      </w:r>
      <w:r w:rsidRPr="00EF4218">
        <w:rPr>
          <w:rFonts w:ascii="Times New Roman" w:eastAsia="Times New Roman" w:hAnsi="Times New Roman" w:cs="Times New Roman"/>
        </w:rPr>
        <w:t xml:space="preserve"> </w:t>
      </w:r>
      <w:r w:rsidRPr="00657A15">
        <w:rPr>
          <w:rFonts w:ascii="Times New Roman" w:eastAsia="Times New Roman" w:hAnsi="Times New Roman" w:cs="Times New Roman"/>
        </w:rPr>
        <w:t>EU Talent Pool</w:t>
      </w:r>
      <w:r w:rsidRPr="00EF4218">
        <w:rPr>
          <w:rFonts w:ascii="Times New Roman" w:eastAsia="Times New Roman" w:hAnsi="Times New Roman" w:cs="Times New Roman"/>
        </w:rPr>
        <w:t xml:space="preserve">) to map strategic objectives. At the national level, it evaluates the Reports of the Bank of Greece and the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Needs Diagnosis Mechanism</w:t>
      </w:r>
      <w:r w:rsidR="00272083" w:rsidRPr="00272083">
        <w:rPr>
          <w:rFonts w:ascii="Times New Roman" w:eastAsia="Times New Roman" w:hAnsi="Times New Roman" w:cs="Times New Roman"/>
          <w:lang w:val="en-US"/>
        </w:rPr>
        <w:t xml:space="preserve"> </w:t>
      </w:r>
      <w:r w:rsidR="00272083" w:rsidRPr="00272083">
        <w:rPr>
          <w:rFonts w:ascii="Times New Roman" w:eastAsia="Times New Roman" w:hAnsi="Times New Roman" w:cs="Times New Roman"/>
        </w:rPr>
        <w:t>(DYPA, 2023)</w:t>
      </w:r>
      <w:r w:rsidRPr="00EF4218">
        <w:rPr>
          <w:rFonts w:ascii="Times New Roman" w:eastAsia="Times New Roman" w:hAnsi="Times New Roman" w:cs="Times New Roman"/>
        </w:rPr>
        <w:t>.</w:t>
      </w:r>
    </w:p>
    <w:p w14:paraId="3D4333C0" w14:textId="38FC663D"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b/>
          <w:bCs/>
        </w:rPr>
        <w:lastRenderedPageBreak/>
        <w:t>B. Quantitative Analysis of Secondary Data:</w:t>
      </w:r>
      <w:r w:rsidRPr="00EF4218">
        <w:rPr>
          <w:rFonts w:ascii="Times New Roman" w:eastAsia="Times New Roman" w:hAnsi="Times New Roman" w:cs="Times New Roman"/>
        </w:rPr>
        <w:t xml:space="preserve"> The second axis focuses on empirically substantiating the nature of demand, involving the </w:t>
      </w:r>
      <w:r w:rsidR="00AC474E" w:rsidRPr="00EF4218">
        <w:rPr>
          <w:rFonts w:ascii="Times New Roman" w:eastAsia="Times New Roman" w:hAnsi="Times New Roman" w:cs="Times New Roman"/>
        </w:rPr>
        <w:t>collection and</w:t>
      </w:r>
      <w:r w:rsidRPr="00EF4218">
        <w:rPr>
          <w:rFonts w:ascii="Times New Roman" w:eastAsia="Times New Roman" w:hAnsi="Times New Roman" w:cs="Times New Roman"/>
        </w:rPr>
        <w:t xml:space="preserve"> statistical processing of data from three primary sources:</w:t>
      </w:r>
    </w:p>
    <w:p w14:paraId="56252457" w14:textId="77777777" w:rsidR="00AC2A63" w:rsidRPr="00EF4218" w:rsidRDefault="00000000" w:rsidP="006110D5">
      <w:pPr>
        <w:numPr>
          <w:ilvl w:val="0"/>
          <w:numId w:val="3"/>
        </w:numPr>
        <w:spacing w:line="480" w:lineRule="auto"/>
        <w:jc w:val="both"/>
        <w:rPr>
          <w:rFonts w:ascii="Times New Roman" w:hAnsi="Times New Roman" w:cs="Times New Roman"/>
        </w:rPr>
      </w:pPr>
      <w:r w:rsidRPr="00EF4218">
        <w:rPr>
          <w:rFonts w:ascii="Times New Roman" w:eastAsia="Times New Roman" w:hAnsi="Times New Roman" w:cs="Times New Roman"/>
        </w:rPr>
        <w:t xml:space="preserve">Eurostat (Job Vacancy Statistics - JVS): The Job Vacancy Rate (JVR) was </w:t>
      </w:r>
      <w:proofErr w:type="spellStart"/>
      <w:r w:rsidRPr="00EF4218">
        <w:rPr>
          <w:rFonts w:ascii="Times New Roman" w:eastAsia="Times New Roman" w:hAnsi="Times New Roman" w:cs="Times New Roman"/>
        </w:rPr>
        <w:t>analysed</w:t>
      </w:r>
      <w:proofErr w:type="spellEnd"/>
      <w:r w:rsidRPr="00EF4218">
        <w:rPr>
          <w:rFonts w:ascii="Times New Roman" w:eastAsia="Times New Roman" w:hAnsi="Times New Roman" w:cs="Times New Roman"/>
        </w:rPr>
        <w:t xml:space="preserve"> by economic activity sector (NACE Rev. 2) over a four-year period to comparatively evaluate demand between high-technology sectors (ICT) and </w:t>
      </w:r>
      <w:proofErr w:type="spellStart"/>
      <w:r w:rsidRPr="00EF4218">
        <w:rPr>
          <w:rFonts w:ascii="Times New Roman" w:eastAsia="Times New Roman" w:hAnsi="Times New Roman" w:cs="Times New Roman"/>
        </w:rPr>
        <w:t>labour-intensive</w:t>
      </w:r>
      <w:proofErr w:type="spellEnd"/>
      <w:r w:rsidRPr="00EF4218">
        <w:rPr>
          <w:rFonts w:ascii="Times New Roman" w:eastAsia="Times New Roman" w:hAnsi="Times New Roman" w:cs="Times New Roman"/>
        </w:rPr>
        <w:t xml:space="preserve"> sectors (Construction, Tourism).</w:t>
      </w:r>
    </w:p>
    <w:p w14:paraId="69F00468" w14:textId="77777777" w:rsidR="00AC2A63" w:rsidRPr="00EF4218" w:rsidRDefault="00000000" w:rsidP="006110D5">
      <w:pPr>
        <w:numPr>
          <w:ilvl w:val="0"/>
          <w:numId w:val="3"/>
        </w:numPr>
        <w:spacing w:line="480" w:lineRule="auto"/>
        <w:jc w:val="both"/>
        <w:rPr>
          <w:rFonts w:ascii="Times New Roman" w:hAnsi="Times New Roman" w:cs="Times New Roman"/>
        </w:rPr>
      </w:pPr>
      <w:r w:rsidRPr="00EF4218">
        <w:rPr>
          <w:rFonts w:ascii="Times New Roman" w:eastAsia="Times New Roman" w:hAnsi="Times New Roman" w:cs="Times New Roman"/>
        </w:rPr>
        <w:t>ELSTAT Microdata (2021 Census): This data captures horizontal segregation and the concentration of migrants per sector.</w:t>
      </w:r>
    </w:p>
    <w:p w14:paraId="37E5EBB7" w14:textId="735E8759" w:rsidR="00AC2A63" w:rsidRPr="00EF4218" w:rsidRDefault="00000000" w:rsidP="006110D5">
      <w:pPr>
        <w:numPr>
          <w:ilvl w:val="0"/>
          <w:numId w:val="3"/>
        </w:numPr>
        <w:spacing w:line="480" w:lineRule="auto"/>
        <w:jc w:val="both"/>
        <w:rPr>
          <w:rFonts w:ascii="Times New Roman" w:hAnsi="Times New Roman" w:cs="Times New Roman"/>
        </w:rPr>
      </w:pPr>
      <w:r w:rsidRPr="00EF4218">
        <w:rPr>
          <w:rFonts w:ascii="Times New Roman" w:eastAsia="Times New Roman" w:hAnsi="Times New Roman" w:cs="Times New Roman"/>
        </w:rPr>
        <w:t xml:space="preserve">Joint Ministerial Decisions on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w:t>
      </w:r>
      <w:r w:rsidR="00272083" w:rsidRPr="00272083">
        <w:rPr>
          <w:rFonts w:ascii="Times New Roman" w:eastAsia="Times New Roman" w:hAnsi="Times New Roman" w:cs="Times New Roman"/>
          <w:lang w:val="en-US"/>
        </w:rPr>
        <w:t xml:space="preserve">, </w:t>
      </w:r>
      <w:r w:rsidRPr="00EF4218">
        <w:rPr>
          <w:rFonts w:ascii="Times New Roman" w:eastAsia="Times New Roman" w:hAnsi="Times New Roman" w:cs="Times New Roman"/>
        </w:rPr>
        <w:t>2023-2024 and 2025-2026</w:t>
      </w:r>
      <w:r w:rsidR="00272083" w:rsidRPr="00272083">
        <w:rPr>
          <w:rFonts w:ascii="Times New Roman" w:eastAsia="Times New Roman" w:hAnsi="Times New Roman" w:cs="Times New Roman"/>
          <w:lang w:val="en-US"/>
        </w:rPr>
        <w:t>, (</w:t>
      </w:r>
      <w:r w:rsidR="00272083" w:rsidRPr="00272083">
        <w:rPr>
          <w:rFonts w:ascii="Times New Roman" w:eastAsia="Times New Roman" w:hAnsi="Times New Roman" w:cs="Times New Roman"/>
        </w:rPr>
        <w:t xml:space="preserve">Ministry of </w:t>
      </w:r>
      <w:proofErr w:type="spellStart"/>
      <w:r w:rsidR="00272083" w:rsidRPr="00272083">
        <w:rPr>
          <w:rFonts w:ascii="Times New Roman" w:eastAsia="Times New Roman" w:hAnsi="Times New Roman" w:cs="Times New Roman"/>
        </w:rPr>
        <w:t>Labour</w:t>
      </w:r>
      <w:proofErr w:type="spellEnd"/>
      <w:r w:rsidR="00272083" w:rsidRPr="00272083">
        <w:rPr>
          <w:rFonts w:ascii="Times New Roman" w:eastAsia="Times New Roman" w:hAnsi="Times New Roman" w:cs="Times New Roman"/>
          <w:lang w:val="en-US"/>
        </w:rPr>
        <w:t>, 2024)</w:t>
      </w:r>
      <w:r w:rsidRPr="00EF4218">
        <w:rPr>
          <w:rFonts w:ascii="Times New Roman" w:eastAsia="Times New Roman" w:hAnsi="Times New Roman" w:cs="Times New Roman"/>
        </w:rPr>
        <w:t>: These serve as a direct indicator of manifested employer demand.</w:t>
      </w:r>
      <w:r w:rsidR="00272083" w:rsidRPr="00272083">
        <w:rPr>
          <w:rFonts w:ascii="Times New Roman" w:eastAsia="Times New Roman" w:hAnsi="Times New Roman" w:cs="Times New Roman"/>
          <w:lang w:val="en-US"/>
        </w:rPr>
        <w:t xml:space="preserve"> </w:t>
      </w:r>
    </w:p>
    <w:p w14:paraId="0A908E78"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b/>
          <w:bCs/>
        </w:rPr>
        <w:t xml:space="preserve">C. Qualitative Field Research </w:t>
      </w:r>
      <w:r w:rsidRPr="00EF4218">
        <w:rPr>
          <w:rFonts w:ascii="Times New Roman" w:eastAsia="Times New Roman" w:hAnsi="Times New Roman" w:cs="Times New Roman"/>
        </w:rPr>
        <w:t>-</w:t>
      </w:r>
      <w:r w:rsidRPr="00EF4218">
        <w:rPr>
          <w:rFonts w:ascii="Times New Roman" w:eastAsia="Times New Roman" w:hAnsi="Times New Roman" w:cs="Times New Roman"/>
          <w:b/>
          <w:bCs/>
        </w:rPr>
        <w:t xml:space="preserve"> Administrative Procedures:</w:t>
      </w:r>
      <w:r w:rsidRPr="00EF4218">
        <w:rPr>
          <w:rFonts w:ascii="Times New Roman" w:eastAsia="Times New Roman" w:hAnsi="Times New Roman" w:cs="Times New Roman"/>
        </w:rPr>
        <w:t xml:space="preserve"> This involves a primary investigation of the national system of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to identify the implementation gap. The research focuses on bureaucratic complexity, the role of Consular Authorities, and visa delays. In practice, these systemic bottlenecks negate the efficacy of legal migration pathways.</w:t>
      </w:r>
    </w:p>
    <w:p w14:paraId="66B653E7"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The study is structured into five chapters, following a deductive trajectory from theoretical foundation to policy evaluation.</w:t>
      </w:r>
    </w:p>
    <w:p w14:paraId="7BBDBB9A" w14:textId="77777777" w:rsidR="00AC2A63" w:rsidRPr="00EF4218" w:rsidRDefault="00000000" w:rsidP="006110D5">
      <w:pPr>
        <w:numPr>
          <w:ilvl w:val="0"/>
          <w:numId w:val="4"/>
        </w:numPr>
        <w:spacing w:line="480" w:lineRule="auto"/>
        <w:jc w:val="both"/>
        <w:rPr>
          <w:rFonts w:ascii="Times New Roman" w:hAnsi="Times New Roman" w:cs="Times New Roman"/>
        </w:rPr>
      </w:pPr>
      <w:r w:rsidRPr="00EF4218">
        <w:rPr>
          <w:rFonts w:ascii="Times New Roman" w:eastAsia="Times New Roman" w:hAnsi="Times New Roman" w:cs="Times New Roman"/>
          <w:b/>
          <w:bCs/>
        </w:rPr>
        <w:t>Chapter One: Introduction.</w:t>
      </w:r>
      <w:r w:rsidRPr="00EF4218">
        <w:rPr>
          <w:rFonts w:ascii="Times New Roman" w:eastAsia="Times New Roman" w:hAnsi="Times New Roman" w:cs="Times New Roman"/>
        </w:rPr>
        <w:t xml:space="preserve"> This chapter introduces and delineates the research problem.</w:t>
      </w:r>
    </w:p>
    <w:p w14:paraId="38D2F85C" w14:textId="77777777" w:rsidR="00AC2A63" w:rsidRPr="00EF4218" w:rsidRDefault="00000000" w:rsidP="006110D5">
      <w:pPr>
        <w:numPr>
          <w:ilvl w:val="0"/>
          <w:numId w:val="4"/>
        </w:numPr>
        <w:spacing w:line="480" w:lineRule="auto"/>
        <w:jc w:val="both"/>
        <w:rPr>
          <w:rFonts w:ascii="Times New Roman" w:hAnsi="Times New Roman" w:cs="Times New Roman"/>
        </w:rPr>
      </w:pPr>
      <w:r w:rsidRPr="00EF4218">
        <w:rPr>
          <w:rFonts w:ascii="Times New Roman" w:eastAsia="Times New Roman" w:hAnsi="Times New Roman" w:cs="Times New Roman"/>
          <w:b/>
          <w:bCs/>
        </w:rPr>
        <w:lastRenderedPageBreak/>
        <w:t>Chapter Two (Theoretical Framework):</w:t>
      </w:r>
      <w:r w:rsidRPr="00EF4218">
        <w:rPr>
          <w:rFonts w:ascii="Times New Roman" w:eastAsia="Times New Roman" w:hAnsi="Times New Roman" w:cs="Times New Roman"/>
        </w:rPr>
        <w:t xml:space="preserve"> This section examines dominant economic paradigms, notably human capital and the neoclassical model, highlighting </w:t>
      </w:r>
      <w:proofErr w:type="spellStart"/>
      <w:r w:rsidRPr="00EF4218">
        <w:rPr>
          <w:rFonts w:ascii="Times New Roman" w:eastAsia="Times New Roman" w:hAnsi="Times New Roman" w:cs="Times New Roman"/>
        </w:rPr>
        <w:t>Piore’s</w:t>
      </w:r>
      <w:proofErr w:type="spellEnd"/>
      <w:r w:rsidRPr="00EF4218">
        <w:rPr>
          <w:rFonts w:ascii="Times New Roman" w:eastAsia="Times New Roman" w:hAnsi="Times New Roman" w:cs="Times New Roman"/>
        </w:rPr>
        <w:t xml:space="preserve"> dual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theory as the primary interpretive key for the Greek case.</w:t>
      </w:r>
    </w:p>
    <w:p w14:paraId="108EAD2D" w14:textId="77777777" w:rsidR="00AC2A63" w:rsidRPr="00EF4218" w:rsidRDefault="00000000" w:rsidP="006110D5">
      <w:pPr>
        <w:numPr>
          <w:ilvl w:val="0"/>
          <w:numId w:val="4"/>
        </w:numPr>
        <w:spacing w:line="480" w:lineRule="auto"/>
        <w:jc w:val="both"/>
        <w:rPr>
          <w:rFonts w:ascii="Times New Roman" w:hAnsi="Times New Roman" w:cs="Times New Roman"/>
        </w:rPr>
      </w:pPr>
      <w:r w:rsidRPr="00EF4218">
        <w:rPr>
          <w:rFonts w:ascii="Times New Roman" w:eastAsia="Times New Roman" w:hAnsi="Times New Roman" w:cs="Times New Roman"/>
          <w:b/>
          <w:bCs/>
        </w:rPr>
        <w:t>Chapter Three (The Greek Reality):</w:t>
      </w:r>
      <w:r w:rsidRPr="00EF4218">
        <w:rPr>
          <w:rFonts w:ascii="Times New Roman" w:eastAsia="Times New Roman" w:hAnsi="Times New Roman" w:cs="Times New Roman"/>
        </w:rPr>
        <w:t xml:space="preserve"> This chapter maps domestic market needs via quantitative indicators. It evaluates national institutional tools, specifically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and repatriation policies (brain gain).</w:t>
      </w:r>
    </w:p>
    <w:p w14:paraId="4C966353" w14:textId="77777777" w:rsidR="00AC2A63" w:rsidRPr="00EF4218" w:rsidRDefault="00000000" w:rsidP="006110D5">
      <w:pPr>
        <w:numPr>
          <w:ilvl w:val="0"/>
          <w:numId w:val="4"/>
        </w:numPr>
        <w:spacing w:line="480" w:lineRule="auto"/>
        <w:jc w:val="both"/>
        <w:rPr>
          <w:rFonts w:ascii="Times New Roman" w:hAnsi="Times New Roman" w:cs="Times New Roman"/>
        </w:rPr>
      </w:pPr>
      <w:r w:rsidRPr="00EF4218">
        <w:rPr>
          <w:rFonts w:ascii="Times New Roman" w:eastAsia="Times New Roman" w:hAnsi="Times New Roman" w:cs="Times New Roman"/>
          <w:b/>
          <w:bCs/>
        </w:rPr>
        <w:t>Chapter Four (The European Dimension):</w:t>
      </w:r>
      <w:r w:rsidRPr="00EF4218">
        <w:rPr>
          <w:rFonts w:ascii="Times New Roman" w:eastAsia="Times New Roman" w:hAnsi="Times New Roman" w:cs="Times New Roman"/>
        </w:rPr>
        <w:t xml:space="preserve"> This section analyses the architecture of the New Pact through the lens of Guideline 6. It focuses on a critical review of the EU Talent Pool and its compatibility with national requirements.</w:t>
      </w:r>
    </w:p>
    <w:p w14:paraId="3B7155CA" w14:textId="61B0EED6" w:rsidR="00AC2A63" w:rsidRPr="00AC474E" w:rsidRDefault="00000000" w:rsidP="006110D5">
      <w:pPr>
        <w:numPr>
          <w:ilvl w:val="0"/>
          <w:numId w:val="4"/>
        </w:numPr>
        <w:spacing w:line="480" w:lineRule="auto"/>
        <w:jc w:val="both"/>
        <w:rPr>
          <w:rFonts w:ascii="Times New Roman" w:hAnsi="Times New Roman" w:cs="Times New Roman"/>
        </w:rPr>
      </w:pPr>
      <w:r w:rsidRPr="00EF4218">
        <w:rPr>
          <w:rFonts w:ascii="Times New Roman" w:eastAsia="Times New Roman" w:hAnsi="Times New Roman" w:cs="Times New Roman"/>
          <w:b/>
          <w:bCs/>
        </w:rPr>
        <w:t>Chapter Five (Conclusions):</w:t>
      </w:r>
      <w:r w:rsidRPr="00EF4218">
        <w:rPr>
          <w:rFonts w:ascii="Times New Roman" w:eastAsia="Times New Roman" w:hAnsi="Times New Roman" w:cs="Times New Roman"/>
        </w:rPr>
        <w:t xml:space="preserve"> This final chapter </w:t>
      </w:r>
      <w:proofErr w:type="spellStart"/>
      <w:r w:rsidRPr="00EF4218">
        <w:rPr>
          <w:rFonts w:ascii="Times New Roman" w:eastAsia="Times New Roman" w:hAnsi="Times New Roman" w:cs="Times New Roman"/>
        </w:rPr>
        <w:t>summarises</w:t>
      </w:r>
      <w:proofErr w:type="spellEnd"/>
      <w:r w:rsidRPr="00EF4218">
        <w:rPr>
          <w:rFonts w:ascii="Times New Roman" w:eastAsia="Times New Roman" w:hAnsi="Times New Roman" w:cs="Times New Roman"/>
        </w:rPr>
        <w:t xml:space="preserve"> the findings regarding the structural mismatch between European planning and domestic demand. Furthermore, it formulates targeted policy proposals to resolve this asymmetry.</w:t>
      </w:r>
    </w:p>
    <w:p w14:paraId="227563A0" w14:textId="15E03888" w:rsidR="00AC2A63" w:rsidRPr="00526125" w:rsidRDefault="00000000" w:rsidP="006F2EB0">
      <w:pPr>
        <w:pStyle w:val="Heading1"/>
        <w:spacing w:line="480" w:lineRule="auto"/>
        <w:jc w:val="center"/>
        <w:rPr>
          <w:rFonts w:ascii="Times New Roman" w:eastAsia="Times New Roman" w:hAnsi="Times New Roman" w:cs="Times New Roman"/>
          <w:b/>
          <w:bCs/>
          <w:color w:val="000000"/>
          <w:sz w:val="24"/>
          <w:szCs w:val="24"/>
        </w:rPr>
      </w:pPr>
      <w:bookmarkStart w:id="2" w:name="_Toc239090978"/>
      <w:r w:rsidRPr="00EF4218">
        <w:rPr>
          <w:rFonts w:ascii="Times New Roman" w:eastAsia="Times New Roman" w:hAnsi="Times New Roman" w:cs="Times New Roman"/>
          <w:b/>
          <w:bCs/>
          <w:color w:val="000000"/>
          <w:sz w:val="24"/>
          <w:szCs w:val="24"/>
        </w:rPr>
        <w:t xml:space="preserve">Chapter 2. Theoretical Framework: Economic Paradigms and </w:t>
      </w:r>
      <w:proofErr w:type="spellStart"/>
      <w:r w:rsidRPr="00EF4218">
        <w:rPr>
          <w:rFonts w:ascii="Times New Roman" w:eastAsia="Times New Roman" w:hAnsi="Times New Roman" w:cs="Times New Roman"/>
          <w:b/>
          <w:bCs/>
          <w:color w:val="000000"/>
          <w:sz w:val="24"/>
          <w:szCs w:val="24"/>
        </w:rPr>
        <w:t>Labour</w:t>
      </w:r>
      <w:proofErr w:type="spellEnd"/>
      <w:r w:rsidRPr="00EF4218">
        <w:rPr>
          <w:rFonts w:ascii="Times New Roman" w:eastAsia="Times New Roman" w:hAnsi="Times New Roman" w:cs="Times New Roman"/>
          <w:b/>
          <w:bCs/>
          <w:color w:val="000000"/>
          <w:sz w:val="24"/>
          <w:szCs w:val="24"/>
        </w:rPr>
        <w:t xml:space="preserve"> Market Fragmentation</w:t>
      </w:r>
      <w:bookmarkEnd w:id="2"/>
    </w:p>
    <w:p w14:paraId="0C7BA4C1"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This chapter examines the theoretical paradigms interpreting the complex interaction between migration and the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The analysis is structured as follows: a) human capital theory (R. Solow, R. Lucas), b) the neoclassical supply/demand model (G. </w:t>
      </w:r>
      <w:proofErr w:type="spellStart"/>
      <w:r w:rsidRPr="00EF4218">
        <w:rPr>
          <w:rFonts w:ascii="Times New Roman" w:eastAsia="Times New Roman" w:hAnsi="Times New Roman" w:cs="Times New Roman"/>
        </w:rPr>
        <w:t>Borjas</w:t>
      </w:r>
      <w:proofErr w:type="spellEnd"/>
      <w:r w:rsidRPr="00EF4218">
        <w:rPr>
          <w:rFonts w:ascii="Times New Roman" w:eastAsia="Times New Roman" w:hAnsi="Times New Roman" w:cs="Times New Roman"/>
        </w:rPr>
        <w:t xml:space="preserve">), c) the demographic and institutional approach to the European Social Model (T. Boeri), d) the structural approach of dualism (M. </w:t>
      </w:r>
      <w:proofErr w:type="spellStart"/>
      <w:r w:rsidRPr="00EF4218">
        <w:rPr>
          <w:rFonts w:ascii="Times New Roman" w:eastAsia="Times New Roman" w:hAnsi="Times New Roman" w:cs="Times New Roman"/>
        </w:rPr>
        <w:t>Piore</w:t>
      </w:r>
      <w:proofErr w:type="spellEnd"/>
      <w:r w:rsidRPr="00EF4218">
        <w:rPr>
          <w:rFonts w:ascii="Times New Roman" w:eastAsia="Times New Roman" w:hAnsi="Times New Roman" w:cs="Times New Roman"/>
        </w:rPr>
        <w:t xml:space="preserve">) combined with the Greek reality (M. </w:t>
      </w:r>
      <w:proofErr w:type="spellStart"/>
      <w:r w:rsidRPr="00EF4218">
        <w:rPr>
          <w:rFonts w:ascii="Times New Roman" w:eastAsia="Times New Roman" w:hAnsi="Times New Roman" w:cs="Times New Roman"/>
        </w:rPr>
        <w:t>Karamesini</w:t>
      </w:r>
      <w:proofErr w:type="spellEnd"/>
      <w:r w:rsidRPr="00EF4218">
        <w:rPr>
          <w:rFonts w:ascii="Times New Roman" w:eastAsia="Times New Roman" w:hAnsi="Times New Roman" w:cs="Times New Roman"/>
        </w:rPr>
        <w:t>), and e) the sociology of capital (P. Bourdieu).</w:t>
      </w:r>
    </w:p>
    <w:p w14:paraId="7E6C395B"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To understand the underlying rationale of European employment policy, Robert Solow’s (1956) neoclassical economic growth model serves as the analytical baseline, correlating long-term </w:t>
      </w:r>
      <w:r w:rsidRPr="00EF4218">
        <w:rPr>
          <w:rFonts w:ascii="Times New Roman" w:eastAsia="Times New Roman" w:hAnsi="Times New Roman" w:cs="Times New Roman"/>
        </w:rPr>
        <w:lastRenderedPageBreak/>
        <w:t xml:space="preserve">growth with technological progress. Expanding upon this premise through endogenous growth theory, Robert Lucas (1988) highlights the concept of human capital. The accumulation of knowledge and skills generates positive externalities (spillover effects), thereby enhancing overall productivity. This approach elucidates the strategic pivot of the EU towards attracting "talent"; in a knowledge-based economy, human capital constitutes the paramount determinant of competitiveness. </w:t>
      </w:r>
    </w:p>
    <w:p w14:paraId="18E14F92"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George </w:t>
      </w:r>
      <w:proofErr w:type="spellStart"/>
      <w:r w:rsidRPr="00EF4218">
        <w:rPr>
          <w:rFonts w:ascii="Times New Roman" w:eastAsia="Times New Roman" w:hAnsi="Times New Roman" w:cs="Times New Roman"/>
        </w:rPr>
        <w:t>Borjas</w:t>
      </w:r>
      <w:proofErr w:type="spellEnd"/>
      <w:r w:rsidRPr="00EF4218">
        <w:rPr>
          <w:rFonts w:ascii="Times New Roman" w:eastAsia="Times New Roman" w:hAnsi="Times New Roman" w:cs="Times New Roman"/>
        </w:rPr>
        <w:t xml:space="preserve"> (2016) approaches migration both as a "supply shock" and as an investment in human capital. According to the competitive equilibrium model, the influx of migrants expands the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supply, consequently compressing wages in the short term. However, this impact depends heavily on the “skill mix”. Substitution (possessing identical skills to natives) intensifies competition, driving wages downwards. Conversely, complementarity (possessing distinct or missing skills) elevates both wages and aggregate productivity. </w:t>
      </w:r>
    </w:p>
    <w:p w14:paraId="16B66317"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The Roy model and the concept of "self-selection" serve as a critical interpretive framework. Positive selection involves highly skilled individuals migrating to markets </w:t>
      </w:r>
      <w:proofErr w:type="spellStart"/>
      <w:r w:rsidRPr="00EF4218">
        <w:rPr>
          <w:rFonts w:ascii="Times New Roman" w:eastAsia="Times New Roman" w:hAnsi="Times New Roman" w:cs="Times New Roman"/>
        </w:rPr>
        <w:t>characterised</w:t>
      </w:r>
      <w:proofErr w:type="spellEnd"/>
      <w:r w:rsidRPr="00EF4218">
        <w:rPr>
          <w:rFonts w:ascii="Times New Roman" w:eastAsia="Times New Roman" w:hAnsi="Times New Roman" w:cs="Times New Roman"/>
        </w:rPr>
        <w:t xml:space="preserve"> by substantial wage dispersion. Conversely, negative selection concerns low-skilled individuals seeking security within compressed wage structures.</w:t>
      </w:r>
    </w:p>
    <w:p w14:paraId="6E043508"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The neoclassical synthesis approach, as articulated by Tito Boeri, serves as a fundamental framework for comprehending the intersection of migration, demographic aging, and welfare state viability (Boeri, 2021, pp. 367–419). Primarily, Europe faces rapid demographic aging, directly threatening the sustainability of pay-as-you-go pension systems. Boeri contends that workforce contraction, driven by this aging process, significantly diminishes competitiveness and economic growth. Consequently, migration operates as an indispensable demographic replacement mechanism for the working-age population (Boeri, 2021, pp. 185–186).</w:t>
      </w:r>
    </w:p>
    <w:p w14:paraId="32735F48"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lastRenderedPageBreak/>
        <w:t xml:space="preserve">However, policymakers confront a critical dilemma regarding "who and what kind of migrants" are required. The salient question is no longer whether migration is necessary, but whether states should facilitate an influx of third-country workers or </w:t>
      </w:r>
      <w:proofErr w:type="spellStart"/>
      <w:r w:rsidRPr="00EF4218">
        <w:rPr>
          <w:rFonts w:ascii="Times New Roman" w:eastAsia="Times New Roman" w:hAnsi="Times New Roman" w:cs="Times New Roman"/>
        </w:rPr>
        <w:t>prioritise</w:t>
      </w:r>
      <w:proofErr w:type="spellEnd"/>
      <w:r w:rsidRPr="00EF4218">
        <w:rPr>
          <w:rFonts w:ascii="Times New Roman" w:eastAsia="Times New Roman" w:hAnsi="Times New Roman" w:cs="Times New Roman"/>
        </w:rPr>
        <w:t xml:space="preserve"> the repatriation of domestic human capital. As Boeri and </w:t>
      </w:r>
      <w:proofErr w:type="spellStart"/>
      <w:r w:rsidRPr="00EF4218">
        <w:rPr>
          <w:rFonts w:ascii="Times New Roman" w:eastAsia="Times New Roman" w:hAnsi="Times New Roman" w:cs="Times New Roman"/>
        </w:rPr>
        <w:t>Brücker</w:t>
      </w:r>
      <w:proofErr w:type="spellEnd"/>
      <w:r w:rsidRPr="00EF4218">
        <w:rPr>
          <w:rFonts w:ascii="Times New Roman" w:eastAsia="Times New Roman" w:hAnsi="Times New Roman" w:cs="Times New Roman"/>
        </w:rPr>
        <w:t xml:space="preserve"> (2005) </w:t>
      </w:r>
      <w:proofErr w:type="spellStart"/>
      <w:r w:rsidRPr="00EF4218">
        <w:rPr>
          <w:rFonts w:ascii="Times New Roman" w:eastAsia="Times New Roman" w:hAnsi="Times New Roman" w:cs="Times New Roman"/>
        </w:rPr>
        <w:t>analyse</w:t>
      </w:r>
      <w:proofErr w:type="spellEnd"/>
      <w:r w:rsidRPr="00EF4218">
        <w:rPr>
          <w:rFonts w:ascii="Times New Roman" w:eastAsia="Times New Roman" w:hAnsi="Times New Roman" w:cs="Times New Roman"/>
        </w:rPr>
        <w:t xml:space="preserve">, European nations systematically </w:t>
      </w:r>
      <w:proofErr w:type="spellStart"/>
      <w:r w:rsidRPr="00EF4218">
        <w:rPr>
          <w:rFonts w:ascii="Times New Roman" w:eastAsia="Times New Roman" w:hAnsi="Times New Roman" w:cs="Times New Roman"/>
        </w:rPr>
        <w:t>favour</w:t>
      </w:r>
      <w:proofErr w:type="spellEnd"/>
      <w:r w:rsidRPr="00EF4218">
        <w:rPr>
          <w:rFonts w:ascii="Times New Roman" w:eastAsia="Times New Roman" w:hAnsi="Times New Roman" w:cs="Times New Roman"/>
        </w:rPr>
        <w:t xml:space="preserve"> highly skilled individuals. These professionals function as net fiscal contributors, mitigating the prevailing fear that low-skilled migrants might overburden the welfare state.</w:t>
      </w:r>
    </w:p>
    <w:p w14:paraId="0F1B0BE0" w14:textId="0AE3CCD4"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Furthermore, European institutional rigidities, such as minimum wages and collective agreements</w:t>
      </w:r>
      <w:r w:rsidR="001B7E5B" w:rsidRPr="00EF4218">
        <w:rPr>
          <w:rFonts w:ascii="Times New Roman" w:eastAsia="Times New Roman" w:hAnsi="Times New Roman" w:cs="Times New Roman"/>
        </w:rPr>
        <w:t xml:space="preserve"> </w:t>
      </w:r>
      <w:r w:rsidRPr="00EF4218">
        <w:rPr>
          <w:rFonts w:ascii="Times New Roman" w:eastAsia="Times New Roman" w:hAnsi="Times New Roman" w:cs="Times New Roman"/>
        </w:rPr>
        <w:t xml:space="preserve">substantially impede the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absorption of low-skilled migrants. Within this analytical paradigm, the outflow of domestic human capital (brain drain) constitutes a "double fiscal loss", depriving the state of both educational investments and tax revenues. Conversely, human capital repatriation (brain gain) emerges as the optimal policy solution; this strategy </w:t>
      </w:r>
      <w:proofErr w:type="spellStart"/>
      <w:r w:rsidRPr="00EF4218">
        <w:rPr>
          <w:rFonts w:ascii="Times New Roman" w:eastAsia="Times New Roman" w:hAnsi="Times New Roman" w:cs="Times New Roman"/>
        </w:rPr>
        <w:t>minimises</w:t>
      </w:r>
      <w:proofErr w:type="spellEnd"/>
      <w:r w:rsidRPr="00EF4218">
        <w:rPr>
          <w:rFonts w:ascii="Times New Roman" w:eastAsia="Times New Roman" w:hAnsi="Times New Roman" w:cs="Times New Roman"/>
        </w:rPr>
        <w:t xml:space="preserve"> cultural adaptation costs while simultaneously </w:t>
      </w:r>
      <w:proofErr w:type="spellStart"/>
      <w:r w:rsidRPr="00EF4218">
        <w:rPr>
          <w:rFonts w:ascii="Times New Roman" w:eastAsia="Times New Roman" w:hAnsi="Times New Roman" w:cs="Times New Roman"/>
        </w:rPr>
        <w:t>maximising</w:t>
      </w:r>
      <w:proofErr w:type="spellEnd"/>
      <w:r w:rsidRPr="00EF4218">
        <w:rPr>
          <w:rFonts w:ascii="Times New Roman" w:eastAsia="Times New Roman" w:hAnsi="Times New Roman" w:cs="Times New Roman"/>
        </w:rPr>
        <w:t xml:space="preserve"> net fiscal contributions to the social security system.</w:t>
      </w:r>
    </w:p>
    <w:p w14:paraId="1BA34521" w14:textId="3DDDC9A6" w:rsidR="00AC2A63" w:rsidRPr="00272083" w:rsidRDefault="00000000"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In stark contrast to the neoclassical model, Michael </w:t>
      </w:r>
      <w:proofErr w:type="spellStart"/>
      <w:r w:rsidRPr="00EF4218">
        <w:rPr>
          <w:rFonts w:ascii="Times New Roman" w:eastAsia="Times New Roman" w:hAnsi="Times New Roman" w:cs="Times New Roman"/>
        </w:rPr>
        <w:t>Piore</w:t>
      </w:r>
      <w:proofErr w:type="spellEnd"/>
      <w:r w:rsidRPr="00EF4218">
        <w:rPr>
          <w:rFonts w:ascii="Times New Roman" w:eastAsia="Times New Roman" w:hAnsi="Times New Roman" w:cs="Times New Roman"/>
        </w:rPr>
        <w:t xml:space="preserve"> (1970) introduces dual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theory. The market structurally bifurcates into the primary sector (stability, high wages) and the secondary sector (precarity, low wages). The demand for migrant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is structural; native workers reject secondary positions due to social status implications. In Greece, according to </w:t>
      </w:r>
      <w:proofErr w:type="spellStart"/>
      <w:r w:rsidRPr="00EF4218">
        <w:rPr>
          <w:rFonts w:ascii="Times New Roman" w:eastAsia="Times New Roman" w:hAnsi="Times New Roman" w:cs="Times New Roman"/>
        </w:rPr>
        <w:t>Karamesini</w:t>
      </w:r>
      <w:proofErr w:type="spellEnd"/>
      <w:r w:rsidRPr="00EF4218">
        <w:rPr>
          <w:rFonts w:ascii="Times New Roman" w:eastAsia="Times New Roman" w:hAnsi="Times New Roman" w:cs="Times New Roman"/>
        </w:rPr>
        <w:t xml:space="preserve"> </w:t>
      </w:r>
      <w:r w:rsidR="00272083" w:rsidRPr="00272083">
        <w:rPr>
          <w:rFonts w:ascii="Times New Roman" w:eastAsia="Times New Roman" w:hAnsi="Times New Roman" w:cs="Times New Roman"/>
        </w:rPr>
        <w:t>and Ioannidis</w:t>
      </w:r>
      <w:r w:rsidR="00272083" w:rsidRPr="00272083">
        <w:rPr>
          <w:rFonts w:ascii="Times New Roman" w:eastAsia="Times New Roman" w:hAnsi="Times New Roman" w:cs="Times New Roman"/>
          <w:lang w:val="en-US"/>
        </w:rPr>
        <w:t xml:space="preserve"> </w:t>
      </w:r>
      <w:r w:rsidRPr="00EF4218">
        <w:rPr>
          <w:rFonts w:ascii="Times New Roman" w:eastAsia="Times New Roman" w:hAnsi="Times New Roman" w:cs="Times New Roman"/>
        </w:rPr>
        <w:t xml:space="preserve">(2023), </w:t>
      </w:r>
      <w:r w:rsidR="00272083" w:rsidRPr="00272083">
        <w:rPr>
          <w:rFonts w:ascii="Times New Roman" w:eastAsia="Times New Roman" w:hAnsi="Times New Roman" w:cs="Times New Roman"/>
        </w:rPr>
        <w:t>as well as recent academic analyses (</w:t>
      </w:r>
      <w:proofErr w:type="spellStart"/>
      <w:r w:rsidR="00272083" w:rsidRPr="00272083">
        <w:rPr>
          <w:rFonts w:ascii="Times New Roman" w:eastAsia="Times New Roman" w:hAnsi="Times New Roman" w:cs="Times New Roman"/>
        </w:rPr>
        <w:t>Karamesini</w:t>
      </w:r>
      <w:proofErr w:type="spellEnd"/>
      <w:r w:rsidR="00272083" w:rsidRPr="00272083">
        <w:rPr>
          <w:rFonts w:ascii="Times New Roman" w:eastAsia="Times New Roman" w:hAnsi="Times New Roman" w:cs="Times New Roman"/>
        </w:rPr>
        <w:t xml:space="preserve">, 2024) </w:t>
      </w:r>
      <w:r w:rsidRPr="00EF4218">
        <w:rPr>
          <w:rFonts w:ascii="Times New Roman" w:eastAsia="Times New Roman" w:hAnsi="Times New Roman" w:cs="Times New Roman"/>
        </w:rPr>
        <w:t>this institutional fragmentation divides the workforce into protected "insiders" and unprotected "outsiders." Internal devaluation expanded the secondary sector, consequently trapping the migrant workforce within the lowest echelons of the occupational hierarchy</w:t>
      </w:r>
      <w:r w:rsidR="00272083" w:rsidRPr="00272083">
        <w:rPr>
          <w:rFonts w:ascii="Times New Roman" w:eastAsia="Times New Roman" w:hAnsi="Times New Roman" w:cs="Times New Roman"/>
          <w:lang w:val="en-US"/>
        </w:rPr>
        <w:t xml:space="preserve"> (</w:t>
      </w:r>
      <w:proofErr w:type="spellStart"/>
      <w:r w:rsidR="00272083" w:rsidRPr="00272083">
        <w:rPr>
          <w:rFonts w:ascii="Times New Roman" w:eastAsia="Times New Roman" w:hAnsi="Times New Roman" w:cs="Times New Roman"/>
          <w:lang w:val="en-US"/>
        </w:rPr>
        <w:t>Piore</w:t>
      </w:r>
      <w:proofErr w:type="spellEnd"/>
      <w:r w:rsidR="00272083" w:rsidRPr="00272083">
        <w:rPr>
          <w:rFonts w:ascii="Times New Roman" w:eastAsia="Times New Roman" w:hAnsi="Times New Roman" w:cs="Times New Roman"/>
          <w:lang w:val="en-US"/>
        </w:rPr>
        <w:t>, 1979).</w:t>
      </w:r>
    </w:p>
    <w:p w14:paraId="619FB1AB" w14:textId="6305D9A8"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However, interpreting the incompatibility of migrants with modern European digital institutions, such as the EU Talent Pool, requires Pierre Bourdieu’s (1986) sociological theory. Cultural capital </w:t>
      </w:r>
      <w:r w:rsidRPr="00EF4218">
        <w:rPr>
          <w:rFonts w:ascii="Times New Roman" w:eastAsia="Times New Roman" w:hAnsi="Times New Roman" w:cs="Times New Roman"/>
        </w:rPr>
        <w:lastRenderedPageBreak/>
        <w:t>now encompasses "digital capital" (</w:t>
      </w:r>
      <w:proofErr w:type="spellStart"/>
      <w:r w:rsidRPr="00EF4218">
        <w:rPr>
          <w:rFonts w:ascii="Times New Roman" w:eastAsia="Times New Roman" w:hAnsi="Times New Roman" w:cs="Times New Roman"/>
        </w:rPr>
        <w:t>Ragnedda</w:t>
      </w:r>
      <w:proofErr w:type="spellEnd"/>
      <w:r w:rsidRPr="00EF4218">
        <w:rPr>
          <w:rFonts w:ascii="Times New Roman" w:eastAsia="Times New Roman" w:hAnsi="Times New Roman" w:cs="Times New Roman"/>
        </w:rPr>
        <w:t xml:space="preserve">, 2018), namely the ability to navigate algorithmic structures and applicant tracking systems (ATS). Precisely here lies the digital divide: the class </w:t>
      </w:r>
      <w:r w:rsidRPr="00EF4218">
        <w:rPr>
          <w:rFonts w:ascii="Times New Roman" w:eastAsia="Times New Roman" w:hAnsi="Times New Roman" w:cs="Times New Roman"/>
          <w:i/>
          <w:iCs/>
        </w:rPr>
        <w:t>habitus</w:t>
      </w:r>
      <w:r w:rsidRPr="00EF4218">
        <w:rPr>
          <w:rFonts w:ascii="Times New Roman" w:eastAsia="Times New Roman" w:hAnsi="Times New Roman" w:cs="Times New Roman"/>
        </w:rPr>
        <w:t xml:space="preserve"> of migrants directed towards Greece is adapted to manual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rendering them incompatible with the immaterial rationality of European platforms (</w:t>
      </w:r>
      <w:proofErr w:type="spellStart"/>
      <w:r w:rsidRPr="00EF4218">
        <w:rPr>
          <w:rFonts w:ascii="Times New Roman" w:eastAsia="Times New Roman" w:hAnsi="Times New Roman" w:cs="Times New Roman"/>
        </w:rPr>
        <w:t>Ignatow</w:t>
      </w:r>
      <w:proofErr w:type="spellEnd"/>
      <w:r w:rsidRPr="00EF4218">
        <w:rPr>
          <w:rFonts w:ascii="Times New Roman" w:eastAsia="Times New Roman" w:hAnsi="Times New Roman" w:cs="Times New Roman"/>
        </w:rPr>
        <w:t xml:space="preserve"> &amp; Robinson, 2017). Excluded </w:t>
      </w:r>
      <w:r w:rsidRPr="003868D8">
        <w:rPr>
          <w:rFonts w:ascii="Times New Roman" w:eastAsia="Times New Roman" w:hAnsi="Times New Roman" w:cs="Times New Roman"/>
        </w:rPr>
        <w:t>de facto</w:t>
      </w:r>
      <w:r w:rsidRPr="00EF4218">
        <w:rPr>
          <w:rFonts w:ascii="Times New Roman" w:eastAsia="Times New Roman" w:hAnsi="Times New Roman" w:cs="Times New Roman"/>
        </w:rPr>
        <w:t xml:space="preserve"> -even if de jure entitled to participate- they are forced to rely exclusively on their social capital, depending heavily on informal ethnic networks to secure employment.</w:t>
      </w:r>
    </w:p>
    <w:p w14:paraId="1F903EB0" w14:textId="77777777" w:rsidR="008E7C68" w:rsidRPr="00EF4218" w:rsidRDefault="00000000" w:rsidP="006110D5">
      <w:pPr>
        <w:pStyle w:val="Heading1"/>
        <w:spacing w:line="480" w:lineRule="auto"/>
        <w:jc w:val="center"/>
        <w:rPr>
          <w:rFonts w:ascii="Times New Roman" w:eastAsia="Times New Roman" w:hAnsi="Times New Roman" w:cs="Times New Roman"/>
          <w:b/>
          <w:bCs/>
          <w:color w:val="000000"/>
          <w:sz w:val="24"/>
          <w:szCs w:val="24"/>
        </w:rPr>
      </w:pPr>
      <w:bookmarkStart w:id="3" w:name="_Toc239090979"/>
      <w:r w:rsidRPr="00EF4218">
        <w:rPr>
          <w:rFonts w:ascii="Times New Roman" w:eastAsia="Times New Roman" w:hAnsi="Times New Roman" w:cs="Times New Roman"/>
          <w:b/>
          <w:bCs/>
          <w:color w:val="000000"/>
          <w:sz w:val="24"/>
          <w:szCs w:val="24"/>
        </w:rPr>
        <w:t>Chapter</w:t>
      </w:r>
      <w:r w:rsidRPr="00EF4218">
        <w:rPr>
          <w:rFonts w:ascii="Times New Roman" w:eastAsia="Times New Roman" w:hAnsi="Times New Roman" w:cs="Times New Roman"/>
          <w:b/>
          <w:bCs/>
          <w:color w:val="000000"/>
          <w:sz w:val="24"/>
          <w:szCs w:val="24"/>
          <w:lang w:val="en-US"/>
        </w:rPr>
        <w:t xml:space="preserve"> 3. </w:t>
      </w:r>
      <w:r w:rsidR="008E7C68" w:rsidRPr="00EF4218">
        <w:rPr>
          <w:rFonts w:ascii="Times New Roman" w:eastAsia="Times New Roman" w:hAnsi="Times New Roman" w:cs="Times New Roman"/>
          <w:b/>
          <w:bCs/>
          <w:color w:val="000000"/>
          <w:sz w:val="24"/>
          <w:szCs w:val="24"/>
        </w:rPr>
        <w:t>The Greek Case: Needs Assessment and National Employment Policies</w:t>
      </w:r>
      <w:bookmarkEnd w:id="3"/>
    </w:p>
    <w:p w14:paraId="3DB34465" w14:textId="669F238B" w:rsidR="008E7C68" w:rsidRPr="00EF4218" w:rsidRDefault="008E7C68"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This chapter undertakes an empirical mapping of the Greek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and an evaluation of national institutional </w:t>
      </w:r>
      <w:r w:rsidR="006017C4" w:rsidRPr="00EF4218">
        <w:rPr>
          <w:rFonts w:ascii="Times New Roman" w:eastAsia="Times New Roman" w:hAnsi="Times New Roman" w:cs="Times New Roman"/>
        </w:rPr>
        <w:t>tools</w:t>
      </w:r>
      <w:r w:rsidR="006017C4" w:rsidRPr="00EF4218">
        <w:rPr>
          <w:rFonts w:ascii="Times New Roman" w:eastAsia="Times New Roman" w:hAnsi="Times New Roman" w:cs="Times New Roman"/>
          <w:lang w:val="en-US"/>
        </w:rPr>
        <w:t xml:space="preserve">, </w:t>
      </w:r>
      <w:r w:rsidR="006017C4" w:rsidRPr="00EF4218">
        <w:rPr>
          <w:rFonts w:ascii="Times New Roman" w:eastAsia="Times New Roman" w:hAnsi="Times New Roman" w:cs="Times New Roman"/>
        </w:rPr>
        <w:t xml:space="preserve">specifically national temporary </w:t>
      </w:r>
      <w:proofErr w:type="spellStart"/>
      <w:r w:rsidR="006017C4" w:rsidRPr="00EF4218">
        <w:rPr>
          <w:rFonts w:ascii="Times New Roman" w:eastAsia="Times New Roman" w:hAnsi="Times New Roman" w:cs="Times New Roman"/>
        </w:rPr>
        <w:t>labour</w:t>
      </w:r>
      <w:proofErr w:type="spellEnd"/>
      <w:r w:rsidR="006017C4" w:rsidRPr="00EF4218">
        <w:rPr>
          <w:rFonts w:ascii="Times New Roman" w:eastAsia="Times New Roman" w:hAnsi="Times New Roman" w:cs="Times New Roman"/>
        </w:rPr>
        <w:t xml:space="preserve"> schemes (employer-led guest-worker invitations)</w:t>
      </w:r>
      <w:r w:rsidR="006017C4" w:rsidRPr="00EF4218">
        <w:rPr>
          <w:rFonts w:ascii="Times New Roman" w:eastAsia="Times New Roman" w:hAnsi="Times New Roman" w:cs="Times New Roman"/>
          <w:lang w:val="en-US"/>
        </w:rPr>
        <w:t xml:space="preserve"> </w:t>
      </w:r>
      <w:r w:rsidR="006017C4" w:rsidRPr="00EF4218">
        <w:rPr>
          <w:rFonts w:ascii="Times New Roman" w:eastAsia="Times New Roman" w:hAnsi="Times New Roman" w:cs="Times New Roman"/>
        </w:rPr>
        <w:t xml:space="preserve">and </w:t>
      </w:r>
      <w:r w:rsidR="006017C4" w:rsidRPr="00EF4218">
        <w:rPr>
          <w:rFonts w:ascii="Times New Roman" w:eastAsia="Times New Roman" w:hAnsi="Times New Roman" w:cs="Times New Roman"/>
          <w:lang w:val="en-US"/>
        </w:rPr>
        <w:t>b</w:t>
      </w:r>
      <w:r w:rsidR="006017C4" w:rsidRPr="00EF4218">
        <w:rPr>
          <w:rFonts w:ascii="Times New Roman" w:eastAsia="Times New Roman" w:hAnsi="Times New Roman" w:cs="Times New Roman"/>
        </w:rPr>
        <w:t>rain gain initiatives.</w:t>
      </w:r>
      <w:r w:rsidRPr="00EF4218">
        <w:rPr>
          <w:rFonts w:ascii="Times New Roman" w:eastAsia="Times New Roman" w:hAnsi="Times New Roman" w:cs="Times New Roman"/>
        </w:rPr>
        <w:t xml:space="preserve"> It aims to highlight the structural mismatch between manifested employer demand and domestic supply.</w:t>
      </w:r>
    </w:p>
    <w:p w14:paraId="278F62CE" w14:textId="1C1A72D0" w:rsidR="008E7C68" w:rsidRPr="00EF4218" w:rsidRDefault="008E7C68" w:rsidP="006110D5">
      <w:pPr>
        <w:pStyle w:val="Heading2"/>
        <w:spacing w:line="480" w:lineRule="auto"/>
        <w:rPr>
          <w:rFonts w:ascii="Times New Roman" w:eastAsia="Times New Roman" w:hAnsi="Times New Roman" w:cs="Times New Roman"/>
          <w:b/>
          <w:bCs/>
          <w:color w:val="000000"/>
          <w:sz w:val="24"/>
          <w:szCs w:val="24"/>
          <w:lang w:val="en-US"/>
        </w:rPr>
      </w:pPr>
      <w:bookmarkStart w:id="4" w:name="_Toc239090980"/>
      <w:r w:rsidRPr="00EF4218">
        <w:rPr>
          <w:rFonts w:ascii="Times New Roman" w:eastAsia="Times New Roman" w:hAnsi="Times New Roman" w:cs="Times New Roman"/>
          <w:b/>
          <w:bCs/>
          <w:color w:val="000000"/>
          <w:sz w:val="24"/>
          <w:szCs w:val="24"/>
          <w:lang w:val="en-US"/>
        </w:rPr>
        <w:t>Needs Assessment</w:t>
      </w:r>
      <w:bookmarkEnd w:id="4"/>
    </w:p>
    <w:p w14:paraId="27CC3D93" w14:textId="0A0E4A2F" w:rsidR="000726E8" w:rsidRPr="00EF4218" w:rsidRDefault="008E7C68" w:rsidP="006110D5">
      <w:pPr>
        <w:spacing w:line="480" w:lineRule="auto"/>
        <w:jc w:val="both"/>
        <w:rPr>
          <w:rFonts w:ascii="Times New Roman" w:eastAsia="Times New Roman" w:hAnsi="Times New Roman" w:cs="Times New Roman"/>
        </w:rPr>
      </w:pPr>
      <w:proofErr w:type="spellStart"/>
      <w:r w:rsidRPr="00EF4218">
        <w:rPr>
          <w:rFonts w:ascii="Times New Roman" w:eastAsia="Times New Roman" w:hAnsi="Times New Roman" w:cs="Times New Roman"/>
        </w:rPr>
        <w:t>Synthesising</w:t>
      </w:r>
      <w:proofErr w:type="spellEnd"/>
      <w:r w:rsidRPr="00EF4218">
        <w:rPr>
          <w:rFonts w:ascii="Times New Roman" w:eastAsia="Times New Roman" w:hAnsi="Times New Roman" w:cs="Times New Roman"/>
        </w:rPr>
        <w:t xml:space="preserve"> statistical indicators (ELSTAT Census, </w:t>
      </w:r>
      <w:r w:rsidR="00657A15" w:rsidRPr="00657A15">
        <w:rPr>
          <w:rFonts w:ascii="Times New Roman" w:eastAsia="Times New Roman" w:hAnsi="Times New Roman" w:cs="Times New Roman"/>
        </w:rPr>
        <w:t>2023a;2023b</w:t>
      </w:r>
      <w:r w:rsidRPr="00EF4218">
        <w:rPr>
          <w:rFonts w:ascii="Times New Roman" w:eastAsia="Times New Roman" w:hAnsi="Times New Roman" w:cs="Times New Roman"/>
        </w:rPr>
        <w:t>) confirms the profound dichotomy of the Greek economy</w:t>
      </w:r>
      <w:r w:rsidR="000C2CA6" w:rsidRPr="00EF4218">
        <w:rPr>
          <w:rFonts w:ascii="Times New Roman" w:eastAsia="Times New Roman" w:hAnsi="Times New Roman" w:cs="Times New Roman"/>
        </w:rPr>
        <w:t>,</w:t>
      </w:r>
      <w:r w:rsidRPr="00EF4218">
        <w:rPr>
          <w:rFonts w:ascii="Times New Roman" w:eastAsia="Times New Roman" w:hAnsi="Times New Roman" w:cs="Times New Roman"/>
        </w:rPr>
        <w:t xml:space="preserve"> </w:t>
      </w:r>
      <w:r w:rsidR="000C2CA6" w:rsidRPr="00EF4218">
        <w:rPr>
          <w:rFonts w:ascii="Times New Roman" w:eastAsia="Times New Roman" w:hAnsi="Times New Roman" w:cs="Times New Roman"/>
        </w:rPr>
        <w:t xml:space="preserve">empirically validating M. </w:t>
      </w:r>
      <w:proofErr w:type="spellStart"/>
      <w:r w:rsidR="000C2CA6" w:rsidRPr="00EF4218">
        <w:rPr>
          <w:rFonts w:ascii="Times New Roman" w:eastAsia="Times New Roman" w:hAnsi="Times New Roman" w:cs="Times New Roman"/>
        </w:rPr>
        <w:t>Piore’s</w:t>
      </w:r>
      <w:proofErr w:type="spellEnd"/>
      <w:r w:rsidR="000C2CA6" w:rsidRPr="00EF4218">
        <w:rPr>
          <w:rFonts w:ascii="Times New Roman" w:eastAsia="Times New Roman" w:hAnsi="Times New Roman" w:cs="Times New Roman"/>
        </w:rPr>
        <w:t xml:space="preserve"> dual </w:t>
      </w:r>
      <w:proofErr w:type="spellStart"/>
      <w:r w:rsidR="000C2CA6" w:rsidRPr="00EF4218">
        <w:rPr>
          <w:rFonts w:ascii="Times New Roman" w:eastAsia="Times New Roman" w:hAnsi="Times New Roman" w:cs="Times New Roman"/>
        </w:rPr>
        <w:t>labour</w:t>
      </w:r>
      <w:proofErr w:type="spellEnd"/>
      <w:r w:rsidR="000C2CA6" w:rsidRPr="00EF4218">
        <w:rPr>
          <w:rFonts w:ascii="Times New Roman" w:eastAsia="Times New Roman" w:hAnsi="Times New Roman" w:cs="Times New Roman"/>
        </w:rPr>
        <w:t xml:space="preserve"> market paradigm</w:t>
      </w:r>
      <w:r w:rsidRPr="00EF4218">
        <w:rPr>
          <w:rFonts w:ascii="Times New Roman" w:eastAsia="Times New Roman" w:hAnsi="Times New Roman" w:cs="Times New Roman"/>
        </w:rPr>
        <w:t>. A clear horizontal segregation based on citizenship emerges</w:t>
      </w:r>
      <w:r w:rsidR="000726E8" w:rsidRPr="00EF4218">
        <w:rPr>
          <w:rFonts w:ascii="Times New Roman" w:eastAsia="Times New Roman" w:hAnsi="Times New Roman" w:cs="Times New Roman"/>
          <w:lang w:val="en-US"/>
        </w:rPr>
        <w:t xml:space="preserve">; </w:t>
      </w:r>
      <w:r w:rsidR="000726E8" w:rsidRPr="00EF4218">
        <w:rPr>
          <w:rFonts w:ascii="Times New Roman" w:eastAsia="Times New Roman" w:hAnsi="Times New Roman" w:cs="Times New Roman"/>
        </w:rPr>
        <w:t xml:space="preserve">while natives dominate highly skilled services and the broader public sector, third-country nationals are massively overrepresented in five </w:t>
      </w:r>
      <w:proofErr w:type="spellStart"/>
      <w:r w:rsidR="000726E8" w:rsidRPr="00EF4218">
        <w:rPr>
          <w:rFonts w:ascii="Times New Roman" w:eastAsia="Times New Roman" w:hAnsi="Times New Roman" w:cs="Times New Roman"/>
        </w:rPr>
        <w:t>labour-intensive</w:t>
      </w:r>
      <w:proofErr w:type="spellEnd"/>
      <w:r w:rsidR="000726E8" w:rsidRPr="00EF4218">
        <w:rPr>
          <w:rFonts w:ascii="Times New Roman" w:eastAsia="Times New Roman" w:hAnsi="Times New Roman" w:cs="Times New Roman"/>
        </w:rPr>
        <w:t xml:space="preserve"> </w:t>
      </w:r>
      <w:r w:rsidR="006017C4" w:rsidRPr="00EF4218">
        <w:rPr>
          <w:rFonts w:ascii="Times New Roman" w:eastAsia="Times New Roman" w:hAnsi="Times New Roman" w:cs="Times New Roman"/>
        </w:rPr>
        <w:t>industries: tourism, agriculture, construction, trade, and manufacturing.</w:t>
      </w:r>
    </w:p>
    <w:p w14:paraId="5135A11E" w14:textId="4C12ACFB" w:rsidR="008E7C68" w:rsidRDefault="008E7C68"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Specifically, the data reveal a high degree of structural dependency </w:t>
      </w:r>
      <w:r w:rsidR="000726E8" w:rsidRPr="00EF4218">
        <w:rPr>
          <w:rFonts w:ascii="Times New Roman" w:eastAsia="Times New Roman" w:hAnsi="Times New Roman" w:cs="Times New Roman"/>
        </w:rPr>
        <w:t xml:space="preserve">within the domestic production sector </w:t>
      </w:r>
      <w:r w:rsidRPr="00EF4218">
        <w:rPr>
          <w:rFonts w:ascii="Times New Roman" w:eastAsia="Times New Roman" w:hAnsi="Times New Roman" w:cs="Times New Roman"/>
        </w:rPr>
        <w:t xml:space="preserve">on the migrant workforce. In the primary sector (Agriculture), foreigners constitute 15.4% of the workforce (55,107 individuals). In construction, they cover 26.3% (49,481 individuals). A notable demographic inversion occurs in domestic services (11,897 foreign women versus 9,045 </w:t>
      </w:r>
      <w:r w:rsidRPr="00EF4218">
        <w:rPr>
          <w:rFonts w:ascii="Times New Roman" w:eastAsia="Times New Roman" w:hAnsi="Times New Roman" w:cs="Times New Roman"/>
        </w:rPr>
        <w:lastRenderedPageBreak/>
        <w:t>native women). This reality highlights the dominant role of female migrants in the "care economy", compensating for the systemic gaps of the national welfare state.</w:t>
      </w:r>
    </w:p>
    <w:p w14:paraId="5B3F1C33" w14:textId="0E9406B6" w:rsidR="00AD5C5B" w:rsidRPr="00B93255" w:rsidRDefault="00AD5C5B" w:rsidP="006110D5">
      <w:pPr>
        <w:spacing w:line="480" w:lineRule="auto"/>
        <w:jc w:val="both"/>
        <w:rPr>
          <w:rFonts w:ascii="Times New Roman" w:eastAsia="Times New Roman" w:hAnsi="Times New Roman" w:cs="Times New Roman"/>
          <w:lang w:val="en-US"/>
        </w:rPr>
      </w:pPr>
      <w:r w:rsidRPr="00AD5C5B">
        <w:rPr>
          <w:rFonts w:ascii="Times New Roman" w:eastAsia="Times New Roman" w:hAnsi="Times New Roman" w:cs="Times New Roman"/>
          <w:noProof/>
          <w:lang w:val="en-US"/>
        </w:rPr>
        <w:drawing>
          <wp:inline distT="0" distB="0" distL="0" distR="0" wp14:anchorId="5FD23886" wp14:editId="2714CB0F">
            <wp:extent cx="5534108" cy="2532949"/>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57874" cy="2543826"/>
                    </a:xfrm>
                    <a:prstGeom prst="rect">
                      <a:avLst/>
                    </a:prstGeom>
                  </pic:spPr>
                </pic:pic>
              </a:graphicData>
            </a:graphic>
          </wp:inline>
        </w:drawing>
      </w:r>
    </w:p>
    <w:p w14:paraId="762E3221" w14:textId="01817BF9" w:rsidR="00AD5C5B" w:rsidRPr="00AD5C5B" w:rsidRDefault="00AD5C5B" w:rsidP="00AD5C5B">
      <w:pPr>
        <w:pStyle w:val="Caption"/>
        <w:jc w:val="both"/>
        <w:rPr>
          <w:rFonts w:ascii="Times New Roman" w:hAnsi="Times New Roman" w:cs="Times New Roman"/>
          <w:sz w:val="20"/>
          <w:szCs w:val="20"/>
        </w:rPr>
      </w:pPr>
      <w:bookmarkStart w:id="5" w:name="_Toc238579066"/>
      <w:r w:rsidRPr="006110D5">
        <w:rPr>
          <w:rFonts w:ascii="Times New Roman" w:hAnsi="Times New Roman" w:cs="Times New Roman"/>
          <w:sz w:val="20"/>
          <w:szCs w:val="20"/>
        </w:rPr>
        <w:t xml:space="preserve">Figure </w:t>
      </w:r>
      <w:r w:rsidRPr="006110D5">
        <w:rPr>
          <w:rFonts w:ascii="Times New Roman" w:hAnsi="Times New Roman" w:cs="Times New Roman"/>
          <w:sz w:val="20"/>
          <w:szCs w:val="20"/>
        </w:rPr>
        <w:fldChar w:fldCharType="begin"/>
      </w:r>
      <w:r w:rsidRPr="006110D5">
        <w:rPr>
          <w:rFonts w:ascii="Times New Roman" w:hAnsi="Times New Roman" w:cs="Times New Roman"/>
          <w:sz w:val="20"/>
          <w:szCs w:val="20"/>
        </w:rPr>
        <w:instrText xml:space="preserve"> SEQ Figure \* ARABIC </w:instrText>
      </w:r>
      <w:r w:rsidRPr="006110D5">
        <w:rPr>
          <w:rFonts w:ascii="Times New Roman" w:hAnsi="Times New Roman" w:cs="Times New Roman"/>
          <w:sz w:val="20"/>
          <w:szCs w:val="20"/>
        </w:rPr>
        <w:fldChar w:fldCharType="separate"/>
      </w:r>
      <w:r w:rsidRPr="006110D5">
        <w:rPr>
          <w:rFonts w:ascii="Times New Roman" w:hAnsi="Times New Roman" w:cs="Times New Roman"/>
          <w:sz w:val="20"/>
          <w:szCs w:val="20"/>
        </w:rPr>
        <w:t>1</w:t>
      </w:r>
      <w:r w:rsidRPr="006110D5">
        <w:rPr>
          <w:rFonts w:ascii="Times New Roman" w:hAnsi="Times New Roman" w:cs="Times New Roman"/>
          <w:sz w:val="20"/>
          <w:szCs w:val="20"/>
        </w:rPr>
        <w:fldChar w:fldCharType="end"/>
      </w:r>
      <w:r w:rsidRPr="00AD5C5B">
        <w:rPr>
          <w:rFonts w:ascii="Arial" w:hAnsi="Arial" w:cs="Arial"/>
          <w:i w:val="0"/>
          <w:iCs w:val="0"/>
          <w:color w:val="64748B"/>
          <w:sz w:val="21"/>
          <w:szCs w:val="21"/>
          <w:shd w:val="clear" w:color="auto" w:fill="FFFFFF"/>
        </w:rPr>
        <w:t xml:space="preserve"> </w:t>
      </w:r>
      <w:r w:rsidRPr="00AD5C5B">
        <w:rPr>
          <w:rFonts w:ascii="Times New Roman" w:hAnsi="Times New Roman" w:cs="Times New Roman"/>
          <w:sz w:val="20"/>
          <w:szCs w:val="20"/>
        </w:rPr>
        <w:t xml:space="preserve">Migrant Share (%) in Key Production Sectors </w:t>
      </w:r>
      <w:r w:rsidRPr="006110D5">
        <w:rPr>
          <w:rFonts w:ascii="Times New Roman" w:hAnsi="Times New Roman" w:cs="Times New Roman"/>
          <w:sz w:val="20"/>
          <w:szCs w:val="20"/>
        </w:rPr>
        <w:t>(2021)</w:t>
      </w:r>
      <w:bookmarkEnd w:id="5"/>
    </w:p>
    <w:p w14:paraId="50E207E9" w14:textId="40D63EA6" w:rsidR="00AD5C5B" w:rsidRDefault="00AD5C5B" w:rsidP="00AD5C5B">
      <w:pPr>
        <w:pBdr>
          <w:top w:val="nil"/>
          <w:left w:val="nil"/>
          <w:bottom w:val="nil"/>
          <w:right w:val="nil"/>
          <w:between w:val="nil"/>
        </w:pBdr>
        <w:spacing w:after="200" w:line="240" w:lineRule="auto"/>
        <w:jc w:val="both"/>
        <w:rPr>
          <w:rFonts w:ascii="Times New Roman" w:eastAsia="Times New Roman" w:hAnsi="Times New Roman" w:cs="Times New Roman"/>
          <w:i/>
          <w:iCs/>
          <w:sz w:val="20"/>
          <w:szCs w:val="20"/>
        </w:rPr>
      </w:pPr>
      <w:r w:rsidRPr="00AD5C5B">
        <w:rPr>
          <w:rFonts w:ascii="Times New Roman" w:eastAsia="Times New Roman" w:hAnsi="Times New Roman" w:cs="Times New Roman"/>
          <w:i/>
          <w:iCs/>
          <w:sz w:val="20"/>
          <w:szCs w:val="20"/>
        </w:rPr>
        <w:t>Source: Author's elaboration based on ELSTAT Census (2021) Microdata. The chart illustrates the heavy reliance on foreign nationals in manual sectors and the demographic inversion in domestic services.</w:t>
      </w:r>
    </w:p>
    <w:p w14:paraId="1FF74572" w14:textId="77777777" w:rsidR="00AD5C5B" w:rsidRPr="00AD5C5B" w:rsidRDefault="00AD5C5B" w:rsidP="00AD5C5B">
      <w:pPr>
        <w:pBdr>
          <w:top w:val="nil"/>
          <w:left w:val="nil"/>
          <w:bottom w:val="nil"/>
          <w:right w:val="nil"/>
          <w:between w:val="nil"/>
        </w:pBdr>
        <w:spacing w:after="200" w:line="240" w:lineRule="auto"/>
        <w:jc w:val="both"/>
        <w:rPr>
          <w:rFonts w:ascii="Times New Roman" w:eastAsia="Times New Roman" w:hAnsi="Times New Roman" w:cs="Times New Roman"/>
          <w:i/>
          <w:iCs/>
          <w:sz w:val="20"/>
          <w:szCs w:val="20"/>
        </w:rPr>
      </w:pPr>
    </w:p>
    <w:p w14:paraId="625CA5D6" w14:textId="6B024370" w:rsidR="000726E8" w:rsidRPr="00EF4218" w:rsidRDefault="000726E8"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 xml:space="preserve">Regarding occupational stratification (skills gap), 40% of foreigners operate in manual or unskilled positions, compared to a mere 8% of Greeks. Conversely, 20.1% of the native population (730,313 individuals) hold highly skilled positions. Such evidence dismantles the narrative that Greece primarily requires a massive influx of "talents" for white-collar roles. The actual deficit manifests distinctly at the base of the occupational pyramid. Furthermore, the </w:t>
      </w:r>
      <w:proofErr w:type="spellStart"/>
      <w:r w:rsidRPr="00EF4218">
        <w:rPr>
          <w:rFonts w:ascii="Times New Roman" w:eastAsia="Times New Roman" w:hAnsi="Times New Roman" w:cs="Times New Roman"/>
          <w:lang w:val="en-US"/>
        </w:rPr>
        <w:t>labour</w:t>
      </w:r>
      <w:proofErr w:type="spellEnd"/>
      <w:r w:rsidRPr="00EF4218">
        <w:rPr>
          <w:rFonts w:ascii="Times New Roman" w:eastAsia="Times New Roman" w:hAnsi="Times New Roman" w:cs="Times New Roman"/>
          <w:lang w:val="en-US"/>
        </w:rPr>
        <w:t xml:space="preserve"> market exhibits strong ethnic </w:t>
      </w:r>
      <w:proofErr w:type="spellStart"/>
      <w:r w:rsidRPr="00EF4218">
        <w:rPr>
          <w:rFonts w:ascii="Times New Roman" w:eastAsia="Times New Roman" w:hAnsi="Times New Roman" w:cs="Times New Roman"/>
          <w:lang w:val="en-US"/>
        </w:rPr>
        <w:t>specialisation</w:t>
      </w:r>
      <w:proofErr w:type="spellEnd"/>
      <w:r w:rsidRPr="00EF4218">
        <w:rPr>
          <w:rFonts w:ascii="Times New Roman" w:eastAsia="Times New Roman" w:hAnsi="Times New Roman" w:cs="Times New Roman"/>
          <w:lang w:val="en-US"/>
        </w:rPr>
        <w:t xml:space="preserve"> exemplified by Albanians in construction, South Asians in agriculture, and Georgian and Filipina women in care services.</w:t>
      </w:r>
    </w:p>
    <w:p w14:paraId="24D06D6A" w14:textId="77777777" w:rsidR="00AD5C5B" w:rsidRDefault="00AD5C5B" w:rsidP="006110D5">
      <w:pPr>
        <w:keepNext/>
        <w:spacing w:line="480" w:lineRule="auto"/>
        <w:jc w:val="both"/>
        <w:rPr>
          <w:rFonts w:ascii="Times New Roman" w:eastAsia="Times New Roman" w:hAnsi="Times New Roman" w:cs="Times New Roman"/>
          <w:noProof/>
        </w:rPr>
      </w:pPr>
    </w:p>
    <w:p w14:paraId="0E4CEDDD" w14:textId="3078C954" w:rsidR="006E0DE8" w:rsidRPr="00EF4218" w:rsidRDefault="00000000" w:rsidP="006110D5">
      <w:pPr>
        <w:keepNext/>
        <w:spacing w:line="480" w:lineRule="auto"/>
        <w:jc w:val="both"/>
        <w:rPr>
          <w:rFonts w:ascii="Times New Roman" w:hAnsi="Times New Roman" w:cs="Times New Roman"/>
        </w:rPr>
      </w:pPr>
      <w:r w:rsidRPr="00EF4218">
        <w:rPr>
          <w:rFonts w:ascii="Times New Roman" w:eastAsia="Times New Roman" w:hAnsi="Times New Roman" w:cs="Times New Roman"/>
          <w:noProof/>
        </w:rPr>
        <w:drawing>
          <wp:inline distT="114300" distB="114300" distL="114300" distR="114300" wp14:anchorId="6CF33CAF" wp14:editId="783BFD7E">
            <wp:extent cx="5169877" cy="3706837"/>
            <wp:effectExtent l="0" t="0" r="0" b="8255"/>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170195" cy="3707065"/>
                    </a:xfrm>
                    <a:prstGeom prst="rect">
                      <a:avLst/>
                    </a:prstGeom>
                    <a:ln/>
                  </pic:spPr>
                </pic:pic>
              </a:graphicData>
            </a:graphic>
          </wp:inline>
        </w:drawing>
      </w:r>
    </w:p>
    <w:p w14:paraId="56967A34" w14:textId="30DEED76" w:rsidR="00AC2A63" w:rsidRPr="006110D5" w:rsidRDefault="006E0DE8" w:rsidP="006110D5">
      <w:pPr>
        <w:pStyle w:val="Caption"/>
        <w:jc w:val="both"/>
        <w:rPr>
          <w:rFonts w:ascii="Times New Roman" w:hAnsi="Times New Roman" w:cs="Times New Roman"/>
          <w:sz w:val="20"/>
          <w:szCs w:val="20"/>
        </w:rPr>
      </w:pPr>
      <w:bookmarkStart w:id="6" w:name="_Toc238579067"/>
      <w:r w:rsidRPr="006110D5">
        <w:rPr>
          <w:rFonts w:ascii="Times New Roman" w:hAnsi="Times New Roman" w:cs="Times New Roman"/>
          <w:sz w:val="20"/>
          <w:szCs w:val="20"/>
        </w:rPr>
        <w:t xml:space="preserve">Figure </w:t>
      </w:r>
      <w:r w:rsidRPr="006110D5">
        <w:rPr>
          <w:rFonts w:ascii="Times New Roman" w:hAnsi="Times New Roman" w:cs="Times New Roman"/>
          <w:sz w:val="20"/>
          <w:szCs w:val="20"/>
        </w:rPr>
        <w:fldChar w:fldCharType="begin"/>
      </w:r>
      <w:r w:rsidRPr="006110D5">
        <w:rPr>
          <w:rFonts w:ascii="Times New Roman" w:hAnsi="Times New Roman" w:cs="Times New Roman"/>
          <w:sz w:val="20"/>
          <w:szCs w:val="20"/>
        </w:rPr>
        <w:instrText xml:space="preserve"> SEQ Figure \* ARABIC </w:instrText>
      </w:r>
      <w:r w:rsidRPr="006110D5">
        <w:rPr>
          <w:rFonts w:ascii="Times New Roman" w:hAnsi="Times New Roman" w:cs="Times New Roman"/>
          <w:sz w:val="20"/>
          <w:szCs w:val="20"/>
        </w:rPr>
        <w:fldChar w:fldCharType="separate"/>
      </w:r>
      <w:r w:rsidR="00AD5C5B">
        <w:rPr>
          <w:rFonts w:ascii="Times New Roman" w:hAnsi="Times New Roman" w:cs="Times New Roman"/>
          <w:noProof/>
          <w:sz w:val="20"/>
          <w:szCs w:val="20"/>
        </w:rPr>
        <w:t>2</w:t>
      </w:r>
      <w:r w:rsidRPr="006110D5">
        <w:rPr>
          <w:rFonts w:ascii="Times New Roman" w:hAnsi="Times New Roman" w:cs="Times New Roman"/>
          <w:sz w:val="20"/>
          <w:szCs w:val="20"/>
        </w:rPr>
        <w:fldChar w:fldCharType="end"/>
      </w:r>
      <w:r w:rsidRPr="006110D5">
        <w:rPr>
          <w:rFonts w:ascii="Times New Roman" w:hAnsi="Times New Roman" w:cs="Times New Roman"/>
          <w:sz w:val="20"/>
          <w:szCs w:val="20"/>
        </w:rPr>
        <w:t>:</w:t>
      </w:r>
      <w:r w:rsidR="00AC611A" w:rsidRPr="00AC611A">
        <w:rPr>
          <w:rFonts w:ascii="Times New Roman" w:hAnsi="Times New Roman" w:cs="Times New Roman"/>
          <w:sz w:val="20"/>
          <w:szCs w:val="20"/>
          <w:lang w:val="en-US"/>
        </w:rPr>
        <w:t xml:space="preserve"> </w:t>
      </w:r>
      <w:r w:rsidRPr="006110D5">
        <w:rPr>
          <w:rFonts w:ascii="Times New Roman" w:hAnsi="Times New Roman" w:cs="Times New Roman"/>
          <w:sz w:val="20"/>
          <w:szCs w:val="20"/>
        </w:rPr>
        <w:t>Distribution of Employed Persons by Citizenship and Occupational Category in Greece (2021)</w:t>
      </w:r>
      <w:bookmarkEnd w:id="6"/>
    </w:p>
    <w:p w14:paraId="1C29D641" w14:textId="77777777" w:rsidR="00AC2A63" w:rsidRPr="006110D5" w:rsidRDefault="00000000" w:rsidP="006110D5">
      <w:pPr>
        <w:pBdr>
          <w:top w:val="nil"/>
          <w:left w:val="nil"/>
          <w:bottom w:val="nil"/>
          <w:right w:val="nil"/>
          <w:between w:val="nil"/>
        </w:pBdr>
        <w:spacing w:after="200" w:line="240" w:lineRule="auto"/>
        <w:jc w:val="both"/>
        <w:rPr>
          <w:rFonts w:ascii="Times New Roman" w:eastAsia="Times New Roman" w:hAnsi="Times New Roman" w:cs="Times New Roman"/>
          <w:i/>
          <w:iCs/>
          <w:sz w:val="20"/>
          <w:szCs w:val="20"/>
        </w:rPr>
      </w:pPr>
      <w:r w:rsidRPr="006110D5">
        <w:rPr>
          <w:rFonts w:ascii="Times New Roman" w:eastAsia="Times New Roman" w:hAnsi="Times New Roman" w:cs="Times New Roman"/>
          <w:i/>
          <w:iCs/>
          <w:sz w:val="20"/>
          <w:szCs w:val="20"/>
        </w:rPr>
        <w:t xml:space="preserve">Source: Researcher’s personal analytical synthesis derived from Population Census data, Hellenic Statistical Authority (ELSTAT), Tables A15 &amp; B10. </w:t>
      </w:r>
    </w:p>
    <w:p w14:paraId="2A4E9364" w14:textId="77777777" w:rsidR="00344216" w:rsidRPr="00EF4218" w:rsidRDefault="00344216" w:rsidP="006110D5">
      <w:pPr>
        <w:spacing w:line="480" w:lineRule="auto"/>
        <w:jc w:val="both"/>
        <w:rPr>
          <w:rFonts w:ascii="Times New Roman" w:eastAsia="Times New Roman" w:hAnsi="Times New Roman" w:cs="Times New Roman"/>
        </w:rPr>
      </w:pPr>
    </w:p>
    <w:p w14:paraId="7343ACEA" w14:textId="77777777" w:rsidR="00344216" w:rsidRPr="00EF4218" w:rsidRDefault="00344216" w:rsidP="006110D5">
      <w:pPr>
        <w:pStyle w:val="Heading2"/>
        <w:spacing w:line="480" w:lineRule="auto"/>
        <w:rPr>
          <w:rFonts w:ascii="Times New Roman" w:eastAsia="Times New Roman" w:hAnsi="Times New Roman" w:cs="Times New Roman"/>
          <w:b/>
          <w:bCs/>
          <w:color w:val="000000"/>
          <w:sz w:val="24"/>
          <w:szCs w:val="24"/>
          <w:lang w:val="en-US"/>
        </w:rPr>
      </w:pPr>
      <w:bookmarkStart w:id="7" w:name="_Toc239090981"/>
      <w:proofErr w:type="spellStart"/>
      <w:r w:rsidRPr="00EF4218">
        <w:rPr>
          <w:rFonts w:ascii="Times New Roman" w:eastAsia="Times New Roman" w:hAnsi="Times New Roman" w:cs="Times New Roman"/>
          <w:b/>
          <w:bCs/>
          <w:color w:val="000000"/>
          <w:sz w:val="24"/>
          <w:szCs w:val="24"/>
          <w:lang w:val="en-US"/>
        </w:rPr>
        <w:t>Labour</w:t>
      </w:r>
      <w:proofErr w:type="spellEnd"/>
      <w:r w:rsidRPr="00EF4218">
        <w:rPr>
          <w:rFonts w:ascii="Times New Roman" w:eastAsia="Times New Roman" w:hAnsi="Times New Roman" w:cs="Times New Roman"/>
          <w:b/>
          <w:bCs/>
          <w:color w:val="000000"/>
          <w:sz w:val="24"/>
          <w:szCs w:val="24"/>
          <w:lang w:val="en-US"/>
        </w:rPr>
        <w:t xml:space="preserve"> Market Tightness</w:t>
      </w:r>
      <w:bookmarkEnd w:id="7"/>
    </w:p>
    <w:p w14:paraId="5EF33C5B" w14:textId="53AA4F9F" w:rsidR="00344216" w:rsidRPr="00EF4218" w:rsidRDefault="00344216"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Simultaneous examination of Eurostat supply and demand indicators </w:t>
      </w:r>
      <w:r w:rsidR="00FB6FE4" w:rsidRPr="00FB6FE4">
        <w:rPr>
          <w:rFonts w:ascii="Times New Roman" w:eastAsia="Times New Roman" w:hAnsi="Times New Roman" w:cs="Times New Roman"/>
        </w:rPr>
        <w:t>(Eurostat, 2025a; 2025b)</w:t>
      </w:r>
      <w:r w:rsidR="00FB6FE4" w:rsidRPr="00FB6FE4">
        <w:rPr>
          <w:rFonts w:ascii="Times New Roman" w:eastAsia="Times New Roman" w:hAnsi="Times New Roman" w:cs="Times New Roman"/>
          <w:lang w:val="en-US"/>
        </w:rPr>
        <w:t xml:space="preserve"> </w:t>
      </w:r>
      <w:r w:rsidRPr="00EF4218">
        <w:rPr>
          <w:rFonts w:ascii="Times New Roman" w:eastAsia="Times New Roman" w:hAnsi="Times New Roman" w:cs="Times New Roman"/>
        </w:rPr>
        <w:t xml:space="preserve">demonstrates acute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tightness in Greece. While the total available workforce steadily contracts -with the unemployment rate dropping from 14% in 2021 to approximately 8.5% (Q2 2026)- the Job Vacancy Rate (JVR) consolidates at historically high levels.</w:t>
      </w:r>
    </w:p>
    <w:p w14:paraId="27C250B0" w14:textId="46D0C9BA" w:rsidR="00344216" w:rsidRPr="00EF4218" w:rsidRDefault="00344216"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Specifically, within the construction sector, the JVR surged from a near-zero 0.4% in 2020 to a historic high of 6.7% in 2022, decelerating slightly to 4.4% in 2025. Similarly, in accommodation </w:t>
      </w:r>
      <w:r w:rsidRPr="00EF4218">
        <w:rPr>
          <w:rFonts w:ascii="Times New Roman" w:eastAsia="Times New Roman" w:hAnsi="Times New Roman" w:cs="Times New Roman"/>
        </w:rPr>
        <w:lastRenderedPageBreak/>
        <w:t xml:space="preserve">and food services, unfulfilled demand skyrocketed to 8.0% in 2024. In stark contrast, the information and communication (ICT) sector -a primary target of the EU Talent Pool- saw its vacancy rate retreat to a mere 0.6% in 2025. Consequently, a European policy that </w:t>
      </w:r>
      <w:proofErr w:type="spellStart"/>
      <w:r w:rsidRPr="00EF4218">
        <w:rPr>
          <w:rFonts w:ascii="Times New Roman" w:eastAsia="Times New Roman" w:hAnsi="Times New Roman" w:cs="Times New Roman"/>
        </w:rPr>
        <w:t>elitistically</w:t>
      </w:r>
      <w:proofErr w:type="spellEnd"/>
      <w:r w:rsidRPr="00EF4218">
        <w:rPr>
          <w:rFonts w:ascii="Times New Roman" w:eastAsia="Times New Roman" w:hAnsi="Times New Roman" w:cs="Times New Roman"/>
        </w:rPr>
        <w:t xml:space="preserve"> privileges the entry of highly skilled professionals acts as a systemic barrier to bridging actual gaps in the Greek market. This institutional inadequacy indirectly fosters either short-term national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or irregular migration.</w:t>
      </w:r>
    </w:p>
    <w:p w14:paraId="05DCC678" w14:textId="77777777" w:rsidR="006E0DE8" w:rsidRPr="00EF4218" w:rsidRDefault="00000000" w:rsidP="006110D5">
      <w:pPr>
        <w:keepNext/>
        <w:spacing w:line="480" w:lineRule="auto"/>
        <w:jc w:val="both"/>
        <w:rPr>
          <w:rFonts w:ascii="Times New Roman" w:hAnsi="Times New Roman" w:cs="Times New Roman"/>
        </w:rPr>
      </w:pPr>
      <w:r w:rsidRPr="00EF4218">
        <w:rPr>
          <w:rFonts w:ascii="Times New Roman" w:eastAsia="Times New Roman" w:hAnsi="Times New Roman" w:cs="Times New Roman"/>
          <w:noProof/>
        </w:rPr>
        <w:drawing>
          <wp:inline distT="114300" distB="114300" distL="114300" distR="114300" wp14:anchorId="28CB2738" wp14:editId="14AC636B">
            <wp:extent cx="5938838" cy="4576288"/>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38838" cy="4576288"/>
                    </a:xfrm>
                    <a:prstGeom prst="rect">
                      <a:avLst/>
                    </a:prstGeom>
                    <a:ln/>
                  </pic:spPr>
                </pic:pic>
              </a:graphicData>
            </a:graphic>
          </wp:inline>
        </w:drawing>
      </w:r>
    </w:p>
    <w:p w14:paraId="52720F8D" w14:textId="3077DFCB" w:rsidR="00AC2A63" w:rsidRPr="006110D5" w:rsidRDefault="006E0DE8" w:rsidP="006110D5">
      <w:pPr>
        <w:pStyle w:val="Caption"/>
        <w:jc w:val="both"/>
        <w:rPr>
          <w:rFonts w:ascii="Times New Roman" w:hAnsi="Times New Roman" w:cs="Times New Roman"/>
          <w:sz w:val="20"/>
          <w:szCs w:val="20"/>
        </w:rPr>
      </w:pPr>
      <w:bookmarkStart w:id="8" w:name="_Toc238579068"/>
      <w:r w:rsidRPr="006110D5">
        <w:rPr>
          <w:rFonts w:ascii="Times New Roman" w:hAnsi="Times New Roman" w:cs="Times New Roman"/>
          <w:sz w:val="20"/>
          <w:szCs w:val="20"/>
        </w:rPr>
        <w:t xml:space="preserve">Figure </w:t>
      </w:r>
      <w:r w:rsidRPr="006110D5">
        <w:rPr>
          <w:rFonts w:ascii="Times New Roman" w:hAnsi="Times New Roman" w:cs="Times New Roman"/>
          <w:sz w:val="20"/>
          <w:szCs w:val="20"/>
        </w:rPr>
        <w:fldChar w:fldCharType="begin"/>
      </w:r>
      <w:r w:rsidRPr="006110D5">
        <w:rPr>
          <w:rFonts w:ascii="Times New Roman" w:hAnsi="Times New Roman" w:cs="Times New Roman"/>
          <w:sz w:val="20"/>
          <w:szCs w:val="20"/>
        </w:rPr>
        <w:instrText xml:space="preserve"> SEQ Figure \* ARABIC </w:instrText>
      </w:r>
      <w:r w:rsidRPr="006110D5">
        <w:rPr>
          <w:rFonts w:ascii="Times New Roman" w:hAnsi="Times New Roman" w:cs="Times New Roman"/>
          <w:sz w:val="20"/>
          <w:szCs w:val="20"/>
        </w:rPr>
        <w:fldChar w:fldCharType="separate"/>
      </w:r>
      <w:r w:rsidR="00AD5C5B">
        <w:rPr>
          <w:rFonts w:ascii="Times New Roman" w:hAnsi="Times New Roman" w:cs="Times New Roman"/>
          <w:noProof/>
          <w:sz w:val="20"/>
          <w:szCs w:val="20"/>
        </w:rPr>
        <w:t>3</w:t>
      </w:r>
      <w:r w:rsidRPr="006110D5">
        <w:rPr>
          <w:rFonts w:ascii="Times New Roman" w:hAnsi="Times New Roman" w:cs="Times New Roman"/>
          <w:sz w:val="20"/>
          <w:szCs w:val="20"/>
        </w:rPr>
        <w:fldChar w:fldCharType="end"/>
      </w:r>
      <w:r w:rsidRPr="006110D5">
        <w:rPr>
          <w:rFonts w:ascii="Times New Roman" w:hAnsi="Times New Roman" w:cs="Times New Roman"/>
          <w:sz w:val="20"/>
          <w:szCs w:val="20"/>
        </w:rPr>
        <w:t>: Job Vacancy Rate (JVR %) Evolution Across Key Economic Sectors in Greece (2021–2025)</w:t>
      </w:r>
      <w:bookmarkEnd w:id="8"/>
    </w:p>
    <w:p w14:paraId="1313D6A0" w14:textId="77777777" w:rsidR="00AC2A63" w:rsidRPr="006110D5" w:rsidRDefault="00000000" w:rsidP="006110D5">
      <w:pPr>
        <w:pBdr>
          <w:top w:val="nil"/>
          <w:left w:val="nil"/>
          <w:bottom w:val="nil"/>
          <w:right w:val="nil"/>
          <w:between w:val="nil"/>
        </w:pBdr>
        <w:spacing w:after="200" w:line="240" w:lineRule="auto"/>
        <w:jc w:val="both"/>
        <w:rPr>
          <w:rFonts w:ascii="Times New Roman" w:eastAsia="Times New Roman" w:hAnsi="Times New Roman" w:cs="Times New Roman"/>
          <w:i/>
          <w:iCs/>
          <w:sz w:val="20"/>
          <w:szCs w:val="20"/>
        </w:rPr>
      </w:pPr>
      <w:bookmarkStart w:id="9" w:name="_heading=h.pcmm8y3l3q9l" w:colFirst="0" w:colLast="0"/>
      <w:bookmarkEnd w:id="9"/>
      <w:r w:rsidRPr="006110D5">
        <w:rPr>
          <w:rFonts w:ascii="Times New Roman" w:eastAsia="Times New Roman" w:hAnsi="Times New Roman" w:cs="Times New Roman"/>
          <w:i/>
          <w:iCs/>
          <w:sz w:val="20"/>
          <w:szCs w:val="20"/>
        </w:rPr>
        <w:t>Source: Researcher’s personal analytical synthesis derived from Eurostat’s Job Vacancy Statistics (jvs_a_rate_r2 &amp; jvs_q_nace2), categorized by NACE Rev. 2 economic activities..</w:t>
      </w:r>
    </w:p>
    <w:p w14:paraId="7B1D7E8E" w14:textId="77777777" w:rsidR="00AC2A63" w:rsidRPr="008A62BF" w:rsidRDefault="00AC2A63" w:rsidP="006110D5">
      <w:pPr>
        <w:spacing w:line="480" w:lineRule="auto"/>
        <w:jc w:val="both"/>
        <w:rPr>
          <w:rFonts w:ascii="Times New Roman" w:eastAsia="Times New Roman" w:hAnsi="Times New Roman" w:cs="Times New Roman"/>
          <w:lang w:val="en-US"/>
        </w:rPr>
      </w:pPr>
    </w:p>
    <w:p w14:paraId="26BAE4C1" w14:textId="77777777" w:rsidR="00AB3BFA" w:rsidRPr="008A62BF" w:rsidRDefault="00AB3BFA" w:rsidP="006110D5">
      <w:pPr>
        <w:spacing w:line="480" w:lineRule="auto"/>
        <w:jc w:val="both"/>
        <w:rPr>
          <w:rFonts w:ascii="Times New Roman" w:eastAsia="Times New Roman" w:hAnsi="Times New Roman" w:cs="Times New Roman"/>
          <w:lang w:val="en-US"/>
        </w:rPr>
      </w:pPr>
    </w:p>
    <w:p w14:paraId="29E9AB9E" w14:textId="77777777" w:rsidR="00AB3BFA" w:rsidRPr="008A62BF" w:rsidRDefault="00AB3BFA" w:rsidP="006110D5">
      <w:pPr>
        <w:spacing w:line="480" w:lineRule="auto"/>
        <w:jc w:val="both"/>
        <w:rPr>
          <w:rFonts w:ascii="Times New Roman" w:eastAsia="Times New Roman" w:hAnsi="Times New Roman" w:cs="Times New Roman"/>
          <w:lang w:val="en-US"/>
        </w:rPr>
      </w:pPr>
    </w:p>
    <w:p w14:paraId="70195031" w14:textId="77777777" w:rsidR="00AB3BFA" w:rsidRPr="008A62BF" w:rsidRDefault="00AB3BFA" w:rsidP="006110D5">
      <w:pPr>
        <w:spacing w:line="480" w:lineRule="auto"/>
        <w:jc w:val="both"/>
        <w:rPr>
          <w:rFonts w:ascii="Times New Roman" w:eastAsia="Times New Roman" w:hAnsi="Times New Roman" w:cs="Times New Roman"/>
          <w:lang w:val="en-US"/>
        </w:rPr>
      </w:pPr>
    </w:p>
    <w:p w14:paraId="1A3E9D49" w14:textId="77777777" w:rsidR="00AB3BFA" w:rsidRPr="008A62BF" w:rsidRDefault="00AB3BFA" w:rsidP="006110D5">
      <w:pPr>
        <w:spacing w:line="480" w:lineRule="auto"/>
        <w:jc w:val="both"/>
        <w:rPr>
          <w:rFonts w:ascii="Times New Roman" w:eastAsia="Times New Roman" w:hAnsi="Times New Roman" w:cs="Times New Roman"/>
          <w:lang w:val="en-US"/>
        </w:rPr>
      </w:pPr>
    </w:p>
    <w:p w14:paraId="3508ECCA" w14:textId="77777777" w:rsidR="00AB3BFA" w:rsidRPr="008A62BF" w:rsidRDefault="00AB3BFA" w:rsidP="006110D5">
      <w:pPr>
        <w:spacing w:line="480" w:lineRule="auto"/>
        <w:jc w:val="both"/>
        <w:rPr>
          <w:rFonts w:ascii="Times New Roman" w:eastAsia="Times New Roman" w:hAnsi="Times New Roman" w:cs="Times New Roman"/>
          <w:lang w:val="en-US"/>
        </w:rPr>
      </w:pPr>
    </w:p>
    <w:p w14:paraId="45995980" w14:textId="772B8E89" w:rsidR="006E0DE8" w:rsidRPr="006110D5" w:rsidRDefault="006E0DE8" w:rsidP="006110D5">
      <w:pPr>
        <w:pStyle w:val="Caption"/>
        <w:jc w:val="both"/>
        <w:rPr>
          <w:rFonts w:ascii="Times New Roman" w:hAnsi="Times New Roman" w:cs="Times New Roman"/>
          <w:sz w:val="20"/>
          <w:szCs w:val="20"/>
        </w:rPr>
      </w:pPr>
      <w:bookmarkStart w:id="10" w:name="_Toc236571875"/>
      <w:r w:rsidRPr="006110D5">
        <w:rPr>
          <w:rFonts w:ascii="Times New Roman" w:hAnsi="Times New Roman" w:cs="Times New Roman"/>
          <w:sz w:val="20"/>
          <w:szCs w:val="20"/>
        </w:rPr>
        <w:t xml:space="preserve">Table </w:t>
      </w:r>
      <w:r w:rsidRPr="006110D5">
        <w:rPr>
          <w:rFonts w:ascii="Times New Roman" w:hAnsi="Times New Roman" w:cs="Times New Roman"/>
          <w:sz w:val="20"/>
          <w:szCs w:val="20"/>
        </w:rPr>
        <w:fldChar w:fldCharType="begin"/>
      </w:r>
      <w:r w:rsidRPr="006110D5">
        <w:rPr>
          <w:rFonts w:ascii="Times New Roman" w:hAnsi="Times New Roman" w:cs="Times New Roman"/>
          <w:sz w:val="20"/>
          <w:szCs w:val="20"/>
        </w:rPr>
        <w:instrText xml:space="preserve"> SEQ Table \* ARABIC </w:instrText>
      </w:r>
      <w:r w:rsidRPr="006110D5">
        <w:rPr>
          <w:rFonts w:ascii="Times New Roman" w:hAnsi="Times New Roman" w:cs="Times New Roman"/>
          <w:sz w:val="20"/>
          <w:szCs w:val="20"/>
        </w:rPr>
        <w:fldChar w:fldCharType="separate"/>
      </w:r>
      <w:r w:rsidRPr="006110D5">
        <w:rPr>
          <w:rFonts w:ascii="Times New Roman" w:hAnsi="Times New Roman" w:cs="Times New Roman"/>
          <w:sz w:val="20"/>
          <w:szCs w:val="20"/>
        </w:rPr>
        <w:t>1</w:t>
      </w:r>
      <w:r w:rsidRPr="006110D5">
        <w:rPr>
          <w:rFonts w:ascii="Times New Roman" w:hAnsi="Times New Roman" w:cs="Times New Roman"/>
          <w:sz w:val="20"/>
          <w:szCs w:val="20"/>
        </w:rPr>
        <w:fldChar w:fldCharType="end"/>
      </w:r>
      <w:r w:rsidRPr="006110D5">
        <w:rPr>
          <w:rFonts w:ascii="Times New Roman" w:hAnsi="Times New Roman" w:cs="Times New Roman"/>
          <w:sz w:val="20"/>
          <w:szCs w:val="20"/>
        </w:rPr>
        <w:t>: Job Vacancy Rate (JVR %) in Key Economic Sectors: Greece (EL) vs. European Union Average (EU-27)</w:t>
      </w:r>
      <w:bookmarkEnd w:id="10"/>
    </w:p>
    <w:p w14:paraId="7DDB6132" w14:textId="1A7913DF" w:rsidR="00AC2A63" w:rsidRPr="00B93255" w:rsidRDefault="00000000" w:rsidP="006110D5">
      <w:pPr>
        <w:spacing w:line="480" w:lineRule="auto"/>
        <w:jc w:val="both"/>
        <w:rPr>
          <w:rFonts w:ascii="Times New Roman" w:eastAsia="Times New Roman" w:hAnsi="Times New Roman" w:cs="Times New Roman"/>
          <w:lang w:val="el-GR"/>
        </w:rPr>
      </w:pPr>
      <w:r w:rsidRPr="00EF4218">
        <w:rPr>
          <w:rFonts w:ascii="Times New Roman" w:eastAsia="Times New Roman" w:hAnsi="Times New Roman" w:cs="Times New Roman"/>
          <w:noProof/>
        </w:rPr>
        <w:drawing>
          <wp:inline distT="114300" distB="114300" distL="114300" distR="114300" wp14:anchorId="346EABB5" wp14:editId="14BDFC33">
            <wp:extent cx="5662613" cy="467347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662613" cy="4673470"/>
                    </a:xfrm>
                    <a:prstGeom prst="rect">
                      <a:avLst/>
                    </a:prstGeom>
                    <a:ln/>
                  </pic:spPr>
                </pic:pic>
              </a:graphicData>
            </a:graphic>
          </wp:inline>
        </w:drawing>
      </w:r>
    </w:p>
    <w:p w14:paraId="251F5FD3" w14:textId="78076B27" w:rsidR="00AC2A63" w:rsidRPr="006110D5" w:rsidRDefault="00000000" w:rsidP="006110D5">
      <w:pPr>
        <w:spacing w:line="240" w:lineRule="auto"/>
        <w:jc w:val="both"/>
        <w:rPr>
          <w:rFonts w:ascii="Times New Roman" w:eastAsia="Times New Roman" w:hAnsi="Times New Roman" w:cs="Times New Roman"/>
          <w:i/>
          <w:iCs/>
          <w:sz w:val="20"/>
          <w:szCs w:val="20"/>
        </w:rPr>
      </w:pPr>
      <w:r w:rsidRPr="006110D5">
        <w:rPr>
          <w:rFonts w:ascii="Times New Roman" w:eastAsia="Times New Roman" w:hAnsi="Times New Roman" w:cs="Times New Roman"/>
          <w:i/>
          <w:iCs/>
          <w:sz w:val="20"/>
          <w:szCs w:val="20"/>
        </w:rPr>
        <w:t>Source: Researcher’s personal analytical synthesis derived from Eurostat’s Job Vacancy Statistics (jvs_a_rate_r2 &amp; jvs_q_nace2), categorized by NACE Rev. 2 economic activities.</w:t>
      </w:r>
    </w:p>
    <w:p w14:paraId="3FABD9D9" w14:textId="77777777" w:rsidR="00AC2A63" w:rsidRPr="00EF4218" w:rsidRDefault="00AC2A63" w:rsidP="006110D5">
      <w:pPr>
        <w:spacing w:line="480" w:lineRule="auto"/>
        <w:jc w:val="both"/>
        <w:rPr>
          <w:rFonts w:ascii="Times New Roman" w:eastAsia="Times New Roman" w:hAnsi="Times New Roman" w:cs="Times New Roman"/>
        </w:rPr>
      </w:pPr>
    </w:p>
    <w:p w14:paraId="7C0B4FE4" w14:textId="5C32FF39" w:rsidR="00AC2A63" w:rsidRPr="00EF4218" w:rsidRDefault="00344216"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lastRenderedPageBreak/>
        <w:t xml:space="preserve">The Bank of Greece institutionally corroborates the aforementioned skills mismatch. </w:t>
      </w:r>
      <w:proofErr w:type="spellStart"/>
      <w:r w:rsidRPr="00EF4218">
        <w:rPr>
          <w:rFonts w:ascii="Times New Roman" w:eastAsia="Times New Roman" w:hAnsi="Times New Roman" w:cs="Times New Roman"/>
        </w:rPr>
        <w:t>Analysing</w:t>
      </w:r>
      <w:proofErr w:type="spellEnd"/>
      <w:r w:rsidRPr="00EF4218">
        <w:rPr>
          <w:rFonts w:ascii="Times New Roman" w:eastAsia="Times New Roman" w:hAnsi="Times New Roman" w:cs="Times New Roman"/>
        </w:rPr>
        <w:t xml:space="preserve"> the Beveridge curve model (</w:t>
      </w:r>
      <w:r w:rsidR="00FB6FE4" w:rsidRPr="00FB6FE4">
        <w:rPr>
          <w:rFonts w:ascii="Times New Roman" w:eastAsia="Times New Roman" w:hAnsi="Times New Roman" w:cs="Times New Roman"/>
        </w:rPr>
        <w:t>Bank of Greece, 2024a</w:t>
      </w:r>
      <w:r w:rsidRPr="00EF4218">
        <w:rPr>
          <w:rFonts w:ascii="Times New Roman" w:eastAsia="Times New Roman" w:hAnsi="Times New Roman" w:cs="Times New Roman"/>
        </w:rPr>
        <w:t>), a clear outward shift becomes evident. Job vacancies remain persistently high despite declining unemployment. This divergence indicates that the domestic workforce rejects the available manual positions. Finally, these empirical findings align perfectly with CEDEFOP and EURES (2024) projections. These agencies record 88 shortage occupations in Greece, predominantly comprising manual roles (cooks, craftsmen).</w:t>
      </w:r>
    </w:p>
    <w:p w14:paraId="5904EA05" w14:textId="77777777" w:rsidR="00AC2A63" w:rsidRPr="00EF4218" w:rsidRDefault="00AC2A63" w:rsidP="006110D5">
      <w:pPr>
        <w:keepNext/>
        <w:spacing w:line="480" w:lineRule="auto"/>
        <w:jc w:val="both"/>
        <w:rPr>
          <w:rFonts w:ascii="Times New Roman" w:hAnsi="Times New Roman" w:cs="Times New Roman"/>
          <w:lang w:val="en-US"/>
        </w:rPr>
      </w:pPr>
    </w:p>
    <w:p w14:paraId="1A13BFFF" w14:textId="77777777" w:rsidR="006E0DE8" w:rsidRPr="00EF4218" w:rsidRDefault="00000000" w:rsidP="006110D5">
      <w:pPr>
        <w:keepNext/>
        <w:spacing w:line="480" w:lineRule="auto"/>
        <w:jc w:val="both"/>
        <w:rPr>
          <w:rFonts w:ascii="Times New Roman" w:hAnsi="Times New Roman" w:cs="Times New Roman"/>
        </w:rPr>
      </w:pPr>
      <w:r w:rsidRPr="00EF4218">
        <w:rPr>
          <w:rFonts w:ascii="Times New Roman" w:eastAsia="Times New Roman" w:hAnsi="Times New Roman" w:cs="Times New Roman"/>
          <w:noProof/>
        </w:rPr>
        <w:drawing>
          <wp:inline distT="0" distB="0" distL="0" distR="0" wp14:anchorId="5780E1E7" wp14:editId="06674FA9">
            <wp:extent cx="4737602" cy="5256052"/>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737602" cy="5256052"/>
                    </a:xfrm>
                    <a:prstGeom prst="rect">
                      <a:avLst/>
                    </a:prstGeom>
                    <a:ln/>
                  </pic:spPr>
                </pic:pic>
              </a:graphicData>
            </a:graphic>
          </wp:inline>
        </w:drawing>
      </w:r>
    </w:p>
    <w:p w14:paraId="2C9295F6" w14:textId="6FEAF188" w:rsidR="00AC2A63" w:rsidRPr="006110D5" w:rsidRDefault="006E0DE8" w:rsidP="006110D5">
      <w:pPr>
        <w:pStyle w:val="Caption"/>
        <w:jc w:val="both"/>
        <w:rPr>
          <w:rFonts w:ascii="Times New Roman" w:hAnsi="Times New Roman" w:cs="Times New Roman"/>
          <w:sz w:val="20"/>
          <w:szCs w:val="20"/>
        </w:rPr>
      </w:pPr>
      <w:bookmarkStart w:id="11" w:name="_Toc238579069"/>
      <w:r w:rsidRPr="006110D5">
        <w:rPr>
          <w:rFonts w:ascii="Times New Roman" w:hAnsi="Times New Roman" w:cs="Times New Roman"/>
          <w:sz w:val="20"/>
          <w:szCs w:val="20"/>
        </w:rPr>
        <w:t xml:space="preserve">Figure </w:t>
      </w:r>
      <w:r w:rsidRPr="006110D5">
        <w:rPr>
          <w:rFonts w:ascii="Times New Roman" w:hAnsi="Times New Roman" w:cs="Times New Roman"/>
          <w:sz w:val="20"/>
          <w:szCs w:val="20"/>
        </w:rPr>
        <w:fldChar w:fldCharType="begin"/>
      </w:r>
      <w:r w:rsidRPr="006110D5">
        <w:rPr>
          <w:rFonts w:ascii="Times New Roman" w:hAnsi="Times New Roman" w:cs="Times New Roman"/>
          <w:sz w:val="20"/>
          <w:szCs w:val="20"/>
        </w:rPr>
        <w:instrText xml:space="preserve"> SEQ Figure \* ARABIC </w:instrText>
      </w:r>
      <w:r w:rsidRPr="006110D5">
        <w:rPr>
          <w:rFonts w:ascii="Times New Roman" w:hAnsi="Times New Roman" w:cs="Times New Roman"/>
          <w:sz w:val="20"/>
          <w:szCs w:val="20"/>
        </w:rPr>
        <w:fldChar w:fldCharType="separate"/>
      </w:r>
      <w:r w:rsidR="00AD5C5B">
        <w:rPr>
          <w:rFonts w:ascii="Times New Roman" w:hAnsi="Times New Roman" w:cs="Times New Roman"/>
          <w:noProof/>
          <w:sz w:val="20"/>
          <w:szCs w:val="20"/>
        </w:rPr>
        <w:t>4</w:t>
      </w:r>
      <w:r w:rsidRPr="006110D5">
        <w:rPr>
          <w:rFonts w:ascii="Times New Roman" w:hAnsi="Times New Roman" w:cs="Times New Roman"/>
          <w:sz w:val="20"/>
          <w:szCs w:val="20"/>
        </w:rPr>
        <w:fldChar w:fldCharType="end"/>
      </w:r>
      <w:r w:rsidRPr="006110D5">
        <w:rPr>
          <w:rFonts w:ascii="Times New Roman" w:hAnsi="Times New Roman" w:cs="Times New Roman"/>
          <w:sz w:val="20"/>
          <w:szCs w:val="20"/>
        </w:rPr>
        <w:t>: The Greek Beveridge Curve: Relationship Between Job Vacancy Rate and Unemployment Rate (2014 Q1–2023 Q4)</w:t>
      </w:r>
      <w:bookmarkEnd w:id="11"/>
    </w:p>
    <w:p w14:paraId="3F4C5C17" w14:textId="77777777" w:rsidR="00AC2A63" w:rsidRPr="006110D5" w:rsidRDefault="00000000" w:rsidP="006110D5">
      <w:pPr>
        <w:spacing w:line="240" w:lineRule="auto"/>
        <w:jc w:val="both"/>
        <w:rPr>
          <w:rFonts w:ascii="Times New Roman" w:eastAsia="Times New Roman" w:hAnsi="Times New Roman" w:cs="Times New Roman"/>
          <w:sz w:val="20"/>
          <w:szCs w:val="20"/>
        </w:rPr>
      </w:pPr>
      <w:bookmarkStart w:id="12" w:name="_heading=h.7jjrvheb08ab" w:colFirst="0" w:colLast="0"/>
      <w:bookmarkEnd w:id="12"/>
      <w:r w:rsidRPr="006110D5">
        <w:rPr>
          <w:rFonts w:ascii="Times New Roman" w:eastAsia="Times New Roman" w:hAnsi="Times New Roman" w:cs="Times New Roman"/>
          <w:i/>
          <w:iCs/>
          <w:sz w:val="20"/>
          <w:szCs w:val="20"/>
        </w:rPr>
        <w:t>Source:</w:t>
      </w:r>
      <w:r w:rsidRPr="006110D5">
        <w:rPr>
          <w:rFonts w:ascii="Times New Roman" w:eastAsia="Times New Roman" w:hAnsi="Times New Roman" w:cs="Times New Roman"/>
          <w:sz w:val="20"/>
          <w:szCs w:val="20"/>
        </w:rPr>
        <w:t xml:space="preserve"> Reprinted from </w:t>
      </w:r>
      <w:proofErr w:type="spellStart"/>
      <w:r w:rsidRPr="006110D5">
        <w:rPr>
          <w:rFonts w:ascii="Times New Roman" w:eastAsia="Times New Roman" w:hAnsi="Times New Roman" w:cs="Times New Roman"/>
          <w:sz w:val="20"/>
          <w:szCs w:val="20"/>
        </w:rPr>
        <w:t>Theofilakou</w:t>
      </w:r>
      <w:proofErr w:type="spellEnd"/>
      <w:r w:rsidRPr="006110D5">
        <w:rPr>
          <w:rFonts w:ascii="Times New Roman" w:eastAsia="Times New Roman" w:hAnsi="Times New Roman" w:cs="Times New Roman"/>
          <w:sz w:val="20"/>
          <w:szCs w:val="20"/>
        </w:rPr>
        <w:t xml:space="preserve">, A., &amp; </w:t>
      </w:r>
      <w:proofErr w:type="spellStart"/>
      <w:r w:rsidRPr="006110D5">
        <w:rPr>
          <w:rFonts w:ascii="Times New Roman" w:eastAsia="Times New Roman" w:hAnsi="Times New Roman" w:cs="Times New Roman"/>
          <w:sz w:val="20"/>
          <w:szCs w:val="20"/>
        </w:rPr>
        <w:t>Vasardani</w:t>
      </w:r>
      <w:proofErr w:type="spellEnd"/>
      <w:r w:rsidRPr="006110D5">
        <w:rPr>
          <w:rFonts w:ascii="Times New Roman" w:eastAsia="Times New Roman" w:hAnsi="Times New Roman" w:cs="Times New Roman"/>
          <w:sz w:val="20"/>
          <w:szCs w:val="20"/>
        </w:rPr>
        <w:t xml:space="preserve">, M. (2024), "Recent developments and prospects of the Greek </w:t>
      </w:r>
      <w:proofErr w:type="spellStart"/>
      <w:r w:rsidRPr="006110D5">
        <w:rPr>
          <w:rFonts w:ascii="Times New Roman" w:eastAsia="Times New Roman" w:hAnsi="Times New Roman" w:cs="Times New Roman"/>
          <w:sz w:val="20"/>
          <w:szCs w:val="20"/>
        </w:rPr>
        <w:t>labour</w:t>
      </w:r>
      <w:proofErr w:type="spellEnd"/>
      <w:r w:rsidRPr="006110D5">
        <w:rPr>
          <w:rFonts w:ascii="Times New Roman" w:eastAsia="Times New Roman" w:hAnsi="Times New Roman" w:cs="Times New Roman"/>
          <w:sz w:val="20"/>
          <w:szCs w:val="20"/>
        </w:rPr>
        <w:t xml:space="preserve"> market", </w:t>
      </w:r>
      <w:r w:rsidRPr="006110D5">
        <w:rPr>
          <w:rFonts w:ascii="Times New Roman" w:eastAsia="Times New Roman" w:hAnsi="Times New Roman" w:cs="Times New Roman"/>
          <w:i/>
          <w:iCs/>
          <w:sz w:val="20"/>
          <w:szCs w:val="20"/>
        </w:rPr>
        <w:t>Economic Bulletin</w:t>
      </w:r>
      <w:r w:rsidRPr="006110D5">
        <w:rPr>
          <w:rFonts w:ascii="Times New Roman" w:eastAsia="Times New Roman" w:hAnsi="Times New Roman" w:cs="Times New Roman"/>
          <w:sz w:val="20"/>
          <w:szCs w:val="20"/>
        </w:rPr>
        <w:t xml:space="preserve">, Bank of Greece, Issue 59, p. 81. Data originally derived from Eurostat and Bank of Greece calculations. </w:t>
      </w:r>
    </w:p>
    <w:p w14:paraId="6F75B678" w14:textId="77777777" w:rsidR="00AC2A63" w:rsidRPr="00EF4218" w:rsidRDefault="00AC2A63" w:rsidP="006110D5">
      <w:pPr>
        <w:spacing w:line="480" w:lineRule="auto"/>
        <w:jc w:val="both"/>
        <w:rPr>
          <w:rFonts w:ascii="Times New Roman" w:eastAsia="Times New Roman" w:hAnsi="Times New Roman" w:cs="Times New Roman"/>
        </w:rPr>
      </w:pPr>
    </w:p>
    <w:p w14:paraId="11E60AD0" w14:textId="2B9DACCB" w:rsidR="00AC2A63" w:rsidRPr="00EF4218" w:rsidRDefault="00022FBD" w:rsidP="006110D5">
      <w:pPr>
        <w:pStyle w:val="Heading2"/>
        <w:spacing w:line="480" w:lineRule="auto"/>
        <w:rPr>
          <w:rFonts w:ascii="Times New Roman" w:eastAsia="Times New Roman" w:hAnsi="Times New Roman" w:cs="Times New Roman"/>
          <w:b/>
          <w:bCs/>
          <w:color w:val="000000"/>
          <w:sz w:val="24"/>
          <w:szCs w:val="24"/>
          <w:lang w:val="en-US"/>
        </w:rPr>
      </w:pPr>
      <w:bookmarkStart w:id="13" w:name="_Toc239090982"/>
      <w:r w:rsidRPr="00EF4218">
        <w:rPr>
          <w:rFonts w:ascii="Times New Roman" w:eastAsia="Times New Roman" w:hAnsi="Times New Roman" w:cs="Times New Roman"/>
          <w:b/>
          <w:bCs/>
          <w:color w:val="000000"/>
          <w:sz w:val="24"/>
          <w:szCs w:val="24"/>
        </w:rPr>
        <w:lastRenderedPageBreak/>
        <w:t>Public Workforce Management Policies</w:t>
      </w:r>
      <w:bookmarkEnd w:id="13"/>
    </w:p>
    <w:p w14:paraId="51FDCC42" w14:textId="4D658776" w:rsidR="00022FBD" w:rsidRPr="00EF4218" w:rsidRDefault="00022FBD"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This section traces the Greek state's response to diagnosed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tightness. Policy analysis reveals a dichotomous strategy. Implementing mass national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addresses low-skilled vacancies</w:t>
      </w:r>
      <w:r w:rsidRPr="00EF4218">
        <w:rPr>
          <w:rFonts w:ascii="Times New Roman" w:eastAsia="Times New Roman" w:hAnsi="Times New Roman" w:cs="Times New Roman"/>
          <w:lang w:val="en-US"/>
        </w:rPr>
        <w:t>, while simultaneously deploying brain gain initiatives to recover high-skilled professionals.</w:t>
      </w:r>
    </w:p>
    <w:p w14:paraId="713008A5" w14:textId="7158635C" w:rsidR="00022FBD" w:rsidRPr="00EF4218" w:rsidRDefault="00022FBD" w:rsidP="006110D5">
      <w:pPr>
        <w:pStyle w:val="Heading3"/>
        <w:spacing w:line="480" w:lineRule="auto"/>
        <w:rPr>
          <w:rFonts w:ascii="Times New Roman" w:eastAsia="Times New Roman" w:hAnsi="Times New Roman" w:cs="Times New Roman"/>
          <w:b/>
          <w:bCs/>
          <w:color w:val="000000"/>
          <w:sz w:val="24"/>
          <w:szCs w:val="24"/>
          <w:lang w:val="en-US"/>
        </w:rPr>
      </w:pPr>
      <w:bookmarkStart w:id="14" w:name="_Toc239090983"/>
      <w:r w:rsidRPr="00EF4218">
        <w:rPr>
          <w:rFonts w:ascii="Times New Roman" w:eastAsia="Times New Roman" w:hAnsi="Times New Roman" w:cs="Times New Roman"/>
          <w:b/>
          <w:bCs/>
          <w:color w:val="000000"/>
          <w:sz w:val="24"/>
          <w:szCs w:val="24"/>
          <w:lang w:val="el-GR"/>
        </w:rPr>
        <w:t>Ν</w:t>
      </w:r>
      <w:proofErr w:type="spellStart"/>
      <w:r w:rsidRPr="00EF4218">
        <w:rPr>
          <w:rFonts w:ascii="Times New Roman" w:eastAsia="Times New Roman" w:hAnsi="Times New Roman" w:cs="Times New Roman"/>
          <w:b/>
          <w:bCs/>
          <w:color w:val="000000"/>
          <w:sz w:val="24"/>
          <w:szCs w:val="24"/>
        </w:rPr>
        <w:t>ational</w:t>
      </w:r>
      <w:proofErr w:type="spellEnd"/>
      <w:r w:rsidRPr="00EF4218">
        <w:rPr>
          <w:rFonts w:ascii="Times New Roman" w:eastAsia="Times New Roman" w:hAnsi="Times New Roman" w:cs="Times New Roman"/>
          <w:b/>
          <w:bCs/>
          <w:color w:val="000000"/>
          <w:sz w:val="24"/>
          <w:szCs w:val="24"/>
        </w:rPr>
        <w:t xml:space="preserve"> Temporary </w:t>
      </w:r>
      <w:proofErr w:type="spellStart"/>
      <w:r w:rsidRPr="00EF4218">
        <w:rPr>
          <w:rFonts w:ascii="Times New Roman" w:eastAsia="Times New Roman" w:hAnsi="Times New Roman" w:cs="Times New Roman"/>
          <w:b/>
          <w:bCs/>
          <w:color w:val="000000"/>
          <w:sz w:val="24"/>
          <w:szCs w:val="24"/>
        </w:rPr>
        <w:t>Labour</w:t>
      </w:r>
      <w:proofErr w:type="spellEnd"/>
      <w:r w:rsidRPr="00EF4218">
        <w:rPr>
          <w:rFonts w:ascii="Times New Roman" w:eastAsia="Times New Roman" w:hAnsi="Times New Roman" w:cs="Times New Roman"/>
          <w:b/>
          <w:bCs/>
          <w:color w:val="000000"/>
          <w:sz w:val="24"/>
          <w:szCs w:val="24"/>
        </w:rPr>
        <w:t xml:space="preserve"> Schemes and Administrative Barriers</w:t>
      </w:r>
      <w:bookmarkEnd w:id="14"/>
      <w:r w:rsidRPr="00EF4218">
        <w:rPr>
          <w:rFonts w:ascii="Times New Roman" w:eastAsia="Times New Roman" w:hAnsi="Times New Roman" w:cs="Times New Roman"/>
          <w:b/>
          <w:bCs/>
          <w:color w:val="000000"/>
          <w:sz w:val="24"/>
          <w:szCs w:val="24"/>
          <w:lang w:val="en-US"/>
        </w:rPr>
        <w:t xml:space="preserve"> </w:t>
      </w:r>
    </w:p>
    <w:p w14:paraId="6B7740B1" w14:textId="0D228050" w:rsidR="00022FBD" w:rsidRPr="00EF4218" w:rsidRDefault="00022FBD"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The primary institutional mechanism for fulfilling Greek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demands with third-country nationals is the national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 (Law 5038/2023). This mechanism constitutes an administrative act granting entry and residence to a foreign national for subordinate employment under a specific employer,</w:t>
      </w:r>
      <w:r w:rsidRPr="00EF4218">
        <w:rPr>
          <w:rFonts w:ascii="Times New Roman" w:hAnsi="Times New Roman" w:cs="Times New Roman"/>
        </w:rPr>
        <w:t xml:space="preserve"> </w:t>
      </w:r>
      <w:r w:rsidRPr="00EF4218">
        <w:rPr>
          <w:rFonts w:ascii="Times New Roman" w:eastAsia="Times New Roman" w:hAnsi="Times New Roman" w:cs="Times New Roman"/>
        </w:rPr>
        <w:t>which are biennially approved via a Ministerial Cabinet Act to establish the maximum volume of admissions.</w:t>
      </w:r>
    </w:p>
    <w:p w14:paraId="4FF3AD8B" w14:textId="1693D195" w:rsidR="00F42387" w:rsidRPr="00EF4218" w:rsidRDefault="00F127EA"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The procedure entails two categories: regular migration (annual, renewable, and providing full social security across all sectors) and seasonal migration. The latter addresses temporary shortages in agriculture (remunerated via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vouchers) and tourism or hospitality (providing standard social insurance). Authorities </w:t>
      </w:r>
      <w:proofErr w:type="spellStart"/>
      <w:r w:rsidRPr="00EF4218">
        <w:rPr>
          <w:rFonts w:ascii="Times New Roman" w:eastAsia="Times New Roman" w:hAnsi="Times New Roman" w:cs="Times New Roman"/>
        </w:rPr>
        <w:t>institutionalise</w:t>
      </w:r>
      <w:proofErr w:type="spellEnd"/>
      <w:r w:rsidRPr="00EF4218">
        <w:rPr>
          <w:rFonts w:ascii="Times New Roman" w:eastAsia="Times New Roman" w:hAnsi="Times New Roman" w:cs="Times New Roman"/>
        </w:rPr>
        <w:t xml:space="preserve"> these schemes either through the standard administrative channel of Decentralized Administrations or via Bilateral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Mobility Agreements (e.g., accords with Egypt and Bangladesh).</w:t>
      </w:r>
      <w:r w:rsidR="00F42387" w:rsidRPr="00EF4218">
        <w:rPr>
          <w:rFonts w:ascii="Times New Roman" w:eastAsia="Times New Roman" w:hAnsi="Times New Roman" w:cs="Times New Roman"/>
          <w:lang w:val="en-US"/>
        </w:rPr>
        <w:t xml:space="preserve"> </w:t>
      </w:r>
      <w:r w:rsidR="00F42387" w:rsidRPr="00EF4218">
        <w:rPr>
          <w:rFonts w:ascii="Times New Roman" w:eastAsia="Times New Roman" w:hAnsi="Times New Roman" w:cs="Times New Roman"/>
        </w:rPr>
        <w:t>Such agreements function as instruments of "migration diplomacy," theoretically anchored in a win-win logic. Greece seeks to bridge critical gaps in low-skilled sectors rejected by the domestic workforce</w:t>
      </w:r>
      <w:r w:rsidR="00F42387" w:rsidRPr="00EF4218">
        <w:rPr>
          <w:rFonts w:ascii="Times New Roman" w:eastAsia="Times New Roman" w:hAnsi="Times New Roman" w:cs="Times New Roman"/>
          <w:lang w:val="en-US"/>
        </w:rPr>
        <w:t xml:space="preserve"> by </w:t>
      </w:r>
      <w:r w:rsidR="00F42387" w:rsidRPr="00EF4218">
        <w:rPr>
          <w:rFonts w:ascii="Times New Roman" w:eastAsia="Times New Roman" w:hAnsi="Times New Roman" w:cs="Times New Roman"/>
        </w:rPr>
        <w:t>imposing an explicit return clause, the state thereby enforces circular migration.</w:t>
      </w:r>
    </w:p>
    <w:p w14:paraId="19D1897A" w14:textId="779C7575" w:rsidR="009B3C4F" w:rsidRPr="00EF4218" w:rsidRDefault="009B3C4F"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Quantitative analysis of administrative data exposes a chronic divergence between manifested employer demand and state approvals. During the 2023-2024 biennium, employers submitted </w:t>
      </w:r>
      <w:r w:rsidRPr="00EF4218">
        <w:rPr>
          <w:rFonts w:ascii="Times New Roman" w:eastAsia="Times New Roman" w:hAnsi="Times New Roman" w:cs="Times New Roman"/>
        </w:rPr>
        <w:lastRenderedPageBreak/>
        <w:t xml:space="preserve">379,165 requests to Decentralized Administrations. </w:t>
      </w:r>
      <w:r w:rsidR="00CB0724" w:rsidRPr="00EF4218">
        <w:rPr>
          <w:rFonts w:ascii="Times New Roman" w:eastAsia="Times New Roman" w:hAnsi="Times New Roman" w:cs="Times New Roman"/>
          <w:lang w:val="en-US"/>
        </w:rPr>
        <w:t>H</w:t>
      </w:r>
      <w:proofErr w:type="spellStart"/>
      <w:r w:rsidR="00CB0724" w:rsidRPr="00EF4218">
        <w:rPr>
          <w:rFonts w:ascii="Times New Roman" w:eastAsia="Times New Roman" w:hAnsi="Times New Roman" w:cs="Times New Roman"/>
        </w:rPr>
        <w:t>owever</w:t>
      </w:r>
      <w:proofErr w:type="spellEnd"/>
      <w:r w:rsidR="00CB0724" w:rsidRPr="00EF4218">
        <w:rPr>
          <w:rFonts w:ascii="Times New Roman" w:eastAsia="Times New Roman" w:hAnsi="Times New Roman" w:cs="Times New Roman"/>
          <w:lang w:val="en-US"/>
        </w:rPr>
        <w:t xml:space="preserve">, </w:t>
      </w:r>
      <w:proofErr w:type="spellStart"/>
      <w:r w:rsidR="00CB0724" w:rsidRPr="00EF4218">
        <w:rPr>
          <w:rFonts w:ascii="Times New Roman" w:eastAsia="Times New Roman" w:hAnsi="Times New Roman" w:cs="Times New Roman"/>
          <w:lang w:val="en-US"/>
        </w:rPr>
        <w:t>t</w:t>
      </w:r>
      <w:r w:rsidRPr="00EF4218">
        <w:rPr>
          <w:rFonts w:ascii="Times New Roman" w:eastAsia="Times New Roman" w:hAnsi="Times New Roman" w:cs="Times New Roman"/>
        </w:rPr>
        <w:t>he</w:t>
      </w:r>
      <w:proofErr w:type="spellEnd"/>
      <w:r w:rsidRPr="00EF4218">
        <w:rPr>
          <w:rFonts w:ascii="Times New Roman" w:eastAsia="Times New Roman" w:hAnsi="Times New Roman" w:cs="Times New Roman"/>
        </w:rPr>
        <w:t xml:space="preserve"> Cabinet approved a mere 167,925 positions, translating to a 44.29% coverage rate. This generated a systemic deficit of 211,240 workers across the primary sector, construction, and tourism. This restrictive policy persists into 2025-2026. Despite a demand exceeding 300,000 positions, the approval ceiling contracted to 94,240 </w:t>
      </w:r>
      <w:r w:rsidR="00C22CCE" w:rsidRPr="00EF4218">
        <w:rPr>
          <w:rFonts w:ascii="Times New Roman" w:eastAsia="Times New Roman" w:hAnsi="Times New Roman" w:cs="Times New Roman"/>
        </w:rPr>
        <w:t xml:space="preserve">positions under Cabinet </w:t>
      </w:r>
      <w:r w:rsidRPr="00EF4218">
        <w:rPr>
          <w:rFonts w:ascii="Times New Roman" w:eastAsia="Times New Roman" w:hAnsi="Times New Roman" w:cs="Times New Roman"/>
        </w:rPr>
        <w:t>Act 35/2025, fulfilling a mere 31.4% of market needs.</w:t>
      </w:r>
    </w:p>
    <w:p w14:paraId="448D2863" w14:textId="34E881D9" w:rsidR="00C22CCE" w:rsidRPr="00EF4218" w:rsidRDefault="00C22CCE"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Maintaining this state quota artificially perpetuates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tightness</w:t>
      </w:r>
      <w:r w:rsidR="00CB0724"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 xml:space="preserve">serving three interrelated political economy objectives. First, restricting migrant supply exerts pressure to absorb the domestic inactive population. Second, the quota operates as an instrument of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intensification and institutional deregulation. It actively promotes </w:t>
      </w:r>
      <w:proofErr w:type="spellStart"/>
      <w:r w:rsidRPr="00EF4218">
        <w:rPr>
          <w:rFonts w:ascii="Times New Roman" w:eastAsia="Times New Roman" w:hAnsi="Times New Roman" w:cs="Times New Roman"/>
        </w:rPr>
        <w:t>flexibilisation</w:t>
      </w:r>
      <w:proofErr w:type="spellEnd"/>
      <w:r w:rsidR="00CB0724" w:rsidRPr="00EF4218">
        <w:rPr>
          <w:rFonts w:ascii="Times New Roman" w:eastAsia="Times New Roman" w:hAnsi="Times New Roman" w:cs="Times New Roman"/>
          <w:lang w:val="en-US"/>
        </w:rPr>
        <w:t>-</w:t>
      </w:r>
      <w:r w:rsidR="00CB0724" w:rsidRPr="00EF4218">
        <w:rPr>
          <w:rFonts w:ascii="Times New Roman" w:hAnsi="Times New Roman" w:cs="Times New Roman"/>
          <w:b/>
          <w:bCs/>
        </w:rPr>
        <w:t xml:space="preserve"> </w:t>
      </w:r>
      <w:r w:rsidR="00CB0724" w:rsidRPr="00AB3BFA">
        <w:rPr>
          <w:rFonts w:ascii="Times New Roman" w:eastAsia="Times New Roman" w:hAnsi="Times New Roman" w:cs="Times New Roman"/>
        </w:rPr>
        <w:t>exemplified by</w:t>
      </w:r>
      <w:r w:rsidR="00CB0724" w:rsidRPr="00EF4218">
        <w:rPr>
          <w:rFonts w:ascii="Times New Roman" w:eastAsia="Times New Roman" w:hAnsi="Times New Roman" w:cs="Times New Roman"/>
        </w:rPr>
        <w:t xml:space="preserve"> 13</w:t>
      </w:r>
      <w:r w:rsidRPr="00EF4218">
        <w:rPr>
          <w:rFonts w:ascii="Times New Roman" w:eastAsia="Times New Roman" w:hAnsi="Times New Roman" w:cs="Times New Roman"/>
        </w:rPr>
        <w:t>-hour daily shifts across multiple employers, six-day workweeks, and the removal of disincentives for working pensioners- thereby exacerbating precarity.</w:t>
      </w:r>
      <w:r w:rsidRPr="00EF4218">
        <w:rPr>
          <w:rFonts w:ascii="Times New Roman" w:eastAsia="Times New Roman" w:hAnsi="Times New Roman" w:cs="Times New Roman"/>
          <w:lang w:val="en-US"/>
        </w:rPr>
        <w:t xml:space="preserve"> Third, the inability to fulfill market needs through national temporary </w:t>
      </w:r>
      <w:proofErr w:type="spellStart"/>
      <w:r w:rsidRPr="00EF4218">
        <w:rPr>
          <w:rFonts w:ascii="Times New Roman" w:eastAsia="Times New Roman" w:hAnsi="Times New Roman" w:cs="Times New Roman"/>
          <w:lang w:val="en-US"/>
        </w:rPr>
        <w:t>labour</w:t>
      </w:r>
      <w:proofErr w:type="spellEnd"/>
      <w:r w:rsidRPr="00EF4218">
        <w:rPr>
          <w:rFonts w:ascii="Times New Roman" w:eastAsia="Times New Roman" w:hAnsi="Times New Roman" w:cs="Times New Roman"/>
          <w:lang w:val="en-US"/>
        </w:rPr>
        <w:t xml:space="preserve"> schemes inevitably redirects demand into the informal economy, consequently fueling undeclared work as a primary mechanism for suppressing production costs, particularly within the primary sector.</w:t>
      </w:r>
    </w:p>
    <w:p w14:paraId="70B91534" w14:textId="453A414A" w:rsidR="00C22CCE" w:rsidRPr="00EF4218" w:rsidRDefault="00C22CCE"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At the institutional level, the Greek market reveals its profound incompatibility with supranational planning. While the EU promotes mechanisms for attracting highly skilled talent, such as the EU Blue Card, the number of cards issued in Greece remains negligible</w:t>
      </w:r>
      <w:r w:rsidR="00E01E19" w:rsidRPr="00EF4218">
        <w:rPr>
          <w:rFonts w:ascii="Times New Roman" w:eastAsia="Times New Roman" w:hAnsi="Times New Roman" w:cs="Times New Roman"/>
          <w:lang w:val="en-US"/>
        </w:rPr>
        <w:t xml:space="preserve"> </w:t>
      </w:r>
      <w:r w:rsidR="005D5519">
        <w:rPr>
          <w:rFonts w:ascii="Times New Roman" w:eastAsia="Times New Roman" w:hAnsi="Times New Roman" w:cs="Times New Roman"/>
        </w:rPr>
        <w:t>-</w:t>
      </w:r>
      <w:r w:rsidR="00E01E19" w:rsidRPr="00EF4218">
        <w:rPr>
          <w:rFonts w:ascii="Times New Roman" w:eastAsia="Times New Roman" w:hAnsi="Times New Roman" w:cs="Times New Roman"/>
          <w:lang w:val="en-US"/>
        </w:rPr>
        <w:t>a single-digit to low double-digit number annually</w:t>
      </w:r>
      <w:r w:rsidR="005D5519">
        <w:rPr>
          <w:rFonts w:ascii="Times New Roman" w:eastAsia="Times New Roman" w:hAnsi="Times New Roman" w:cs="Times New Roman"/>
          <w:lang w:val="en-US"/>
        </w:rPr>
        <w:t xml:space="preserve">- </w:t>
      </w:r>
      <w:r w:rsidR="00E01E19" w:rsidRPr="00EF4218">
        <w:rPr>
          <w:rFonts w:ascii="Times New Roman" w:eastAsia="Times New Roman" w:hAnsi="Times New Roman" w:cs="Times New Roman"/>
          <w:lang w:val="en-US"/>
        </w:rPr>
        <w:t xml:space="preserve"> </w:t>
      </w:r>
      <w:r w:rsidR="005D5519">
        <w:rPr>
          <w:rFonts w:ascii="Times New Roman" w:eastAsia="Times New Roman" w:hAnsi="Times New Roman" w:cs="Times New Roman"/>
          <w:lang w:val="en-US"/>
        </w:rPr>
        <w:t>(</w:t>
      </w:r>
      <w:r w:rsidR="00E01E19" w:rsidRPr="00EF4218">
        <w:rPr>
          <w:rFonts w:ascii="Times New Roman" w:eastAsia="Times New Roman" w:hAnsi="Times New Roman" w:cs="Times New Roman"/>
          <w:lang w:val="en-US"/>
        </w:rPr>
        <w:t>Eurostat 202</w:t>
      </w:r>
      <w:r w:rsidR="00BA6315" w:rsidRPr="000A7732">
        <w:rPr>
          <w:rFonts w:ascii="Times New Roman" w:eastAsia="Times New Roman" w:hAnsi="Times New Roman" w:cs="Times New Roman"/>
          <w:lang w:val="en-US"/>
        </w:rPr>
        <w:t>6</w:t>
      </w:r>
      <w:r w:rsidR="00E01E19" w:rsidRPr="00EF4218">
        <w:rPr>
          <w:rFonts w:ascii="Times New Roman" w:eastAsia="Times New Roman" w:hAnsi="Times New Roman" w:cs="Times New Roman"/>
          <w:lang w:val="en-US"/>
        </w:rPr>
        <w:t>)</w:t>
      </w:r>
      <w:r w:rsidRPr="00EF4218">
        <w:rPr>
          <w:rFonts w:ascii="Times New Roman" w:eastAsia="Times New Roman" w:hAnsi="Times New Roman" w:cs="Times New Roman"/>
          <w:lang w:val="en-US"/>
        </w:rPr>
        <w:t xml:space="preserve">, </w:t>
      </w:r>
      <w:r w:rsidR="00CB0724" w:rsidRPr="00EF4218">
        <w:rPr>
          <w:rFonts w:ascii="Times New Roman" w:eastAsia="Times New Roman" w:hAnsi="Times New Roman" w:cs="Times New Roman"/>
          <w:lang w:val="en-US"/>
        </w:rPr>
        <w:t xml:space="preserve">proving </w:t>
      </w:r>
      <w:r w:rsidRPr="00EF4218">
        <w:rPr>
          <w:rFonts w:ascii="Times New Roman" w:eastAsia="Times New Roman" w:hAnsi="Times New Roman" w:cs="Times New Roman"/>
          <w:lang w:val="en-US"/>
        </w:rPr>
        <w:t>that domestic demand structurally concerns the secondary, manual sector.</w:t>
      </w:r>
    </w:p>
    <w:p w14:paraId="43ED4327" w14:textId="6749F994" w:rsidR="00AC2A63" w:rsidRPr="00EF4218" w:rsidRDefault="00440E7C" w:rsidP="006110D5">
      <w:pPr>
        <w:spacing w:line="480" w:lineRule="auto"/>
        <w:ind w:left="720"/>
        <w:jc w:val="both"/>
        <w:rPr>
          <w:rFonts w:ascii="Times New Roman" w:eastAsia="Times New Roman" w:hAnsi="Times New Roman" w:cs="Times New Roman"/>
          <w:lang w:val="en-US"/>
        </w:rPr>
      </w:pPr>
      <w:r w:rsidRPr="00EF4218">
        <w:rPr>
          <w:rFonts w:ascii="Times New Roman" w:hAnsi="Times New Roman" w:cs="Times New Roman"/>
          <w:noProof/>
        </w:rPr>
        <w:lastRenderedPageBreak/>
        <mc:AlternateContent>
          <mc:Choice Requires="wps">
            <w:drawing>
              <wp:anchor distT="0" distB="0" distL="114300" distR="114300" simplePos="0" relativeHeight="251660288" behindDoc="0" locked="0" layoutInCell="1" allowOverlap="1" wp14:anchorId="743253CC" wp14:editId="276394BE">
                <wp:simplePos x="0" y="0"/>
                <wp:positionH relativeFrom="margin">
                  <wp:posOffset>-93491</wp:posOffset>
                </wp:positionH>
                <wp:positionV relativeFrom="paragraph">
                  <wp:posOffset>7820660</wp:posOffset>
                </wp:positionV>
                <wp:extent cx="6379210" cy="635"/>
                <wp:effectExtent l="0" t="0" r="2540" b="0"/>
                <wp:wrapSquare wrapText="bothSides"/>
                <wp:docPr id="4" name="Text Box 4"/>
                <wp:cNvGraphicFramePr/>
                <a:graphic xmlns:a="http://schemas.openxmlformats.org/drawingml/2006/main">
                  <a:graphicData uri="http://schemas.microsoft.com/office/word/2010/wordprocessingShape">
                    <wps:wsp>
                      <wps:cNvSpPr txBox="1"/>
                      <wps:spPr>
                        <a:xfrm>
                          <a:off x="0" y="0"/>
                          <a:ext cx="6379210" cy="635"/>
                        </a:xfrm>
                        <a:prstGeom prst="rect">
                          <a:avLst/>
                        </a:prstGeom>
                        <a:solidFill>
                          <a:prstClr val="white"/>
                        </a:solidFill>
                        <a:ln>
                          <a:noFill/>
                        </a:ln>
                      </wps:spPr>
                      <wps:txbx>
                        <w:txbxContent>
                          <w:p w14:paraId="05035E85" w14:textId="1FA3DEAA" w:rsidR="006E0DE8" w:rsidRPr="006E0DE8" w:rsidRDefault="006E0DE8" w:rsidP="006110D5">
                            <w:pPr>
                              <w:pStyle w:val="Caption"/>
                              <w:rPr>
                                <w:rFonts w:ascii="Times New Roman" w:eastAsia="Times New Roman" w:hAnsi="Times New Roman" w:cs="Times New Roman"/>
                                <w:noProof/>
                                <w:lang w:val="en-US"/>
                              </w:rPr>
                            </w:pPr>
                            <w:bookmarkStart w:id="15" w:name="_Toc238579070"/>
                            <w:r>
                              <w:t xml:space="preserve">Figure </w:t>
                            </w:r>
                            <w:r w:rsidR="000A7732">
                              <w:t>5</w:t>
                            </w:r>
                            <w:r w:rsidRPr="00A60D8D">
                              <w:t>: BPMN 2.0 Process Model of the Administrative Procedure for the national temporary labour scheme (Migration Code L. 5038/2023)</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43253CC" id="_x0000_t202" coordsize="21600,21600" o:spt="202" path="m,l,21600r21600,l21600,xe">
                <v:stroke joinstyle="miter"/>
                <v:path gradientshapeok="t" o:connecttype="rect"/>
              </v:shapetype>
              <v:shape id="Text Box 4" o:spid="_x0000_s1026" type="#_x0000_t202" style="position:absolute;left:0;text-align:left;margin-left:-7.35pt;margin-top:615.8pt;width:502.3pt;height:.0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" stroked="f">
                <v:textbox style="mso-fit-shape-to-text:t" inset="0,0,0,0">
                  <w:txbxContent>
                    <w:p w14:paraId="05035E85" w14:textId="1FA3DEAA" w:rsidR="006E0DE8" w:rsidRPr="006E0DE8" w:rsidRDefault="006E0DE8" w:rsidP="006110D5">
                      <w:pPr>
                        <w:pStyle w:val="Caption"/>
                        <w:rPr>
                          <w:rFonts w:ascii="Times New Roman" w:eastAsia="Times New Roman" w:hAnsi="Times New Roman" w:cs="Times New Roman"/>
                          <w:noProof/>
                          <w:lang w:val="en-US"/>
                        </w:rPr>
                      </w:pPr>
                      <w:bookmarkStart w:id="16" w:name="_Toc238579070"/>
                      <w:r>
                        <w:t xml:space="preserve">Figure </w:t>
                      </w:r>
                      <w:r w:rsidR="000A7732">
                        <w:t>5</w:t>
                      </w:r>
                      <w:r w:rsidRPr="00A60D8D">
                        <w:t xml:space="preserve">: BPMN 2.0 Process Model of the Administrative Procedure for the national temporary </w:t>
                      </w:r>
                      <w:proofErr w:type="spellStart"/>
                      <w:r w:rsidRPr="00A60D8D">
                        <w:t>labour</w:t>
                      </w:r>
                      <w:proofErr w:type="spellEnd"/>
                      <w:r w:rsidRPr="00A60D8D">
                        <w:t xml:space="preserve"> scheme (Migration Code L. 5038/2023)</w:t>
                      </w:r>
                      <w:bookmarkEnd w:id="16"/>
                    </w:p>
                  </w:txbxContent>
                </v:textbox>
                <w10:wrap type="square" anchorx="margin"/>
              </v:shape>
            </w:pict>
          </mc:Fallback>
        </mc:AlternateContent>
      </w:r>
      <w:r w:rsidR="006E0DE8" w:rsidRPr="00EF4218">
        <w:rPr>
          <w:rFonts w:ascii="Times New Roman" w:eastAsia="Times New Roman" w:hAnsi="Times New Roman" w:cs="Times New Roman"/>
          <w:noProof/>
          <w:lang w:val="el-GR"/>
        </w:rPr>
        <w:drawing>
          <wp:anchor distT="0" distB="0" distL="114300" distR="114300" simplePos="0" relativeHeight="251658240" behindDoc="0" locked="0" layoutInCell="1" allowOverlap="1" wp14:anchorId="1E0CE0E3" wp14:editId="251141A0">
            <wp:simplePos x="0" y="0"/>
            <wp:positionH relativeFrom="margin">
              <wp:posOffset>-190940</wp:posOffset>
            </wp:positionH>
            <wp:positionV relativeFrom="paragraph">
              <wp:posOffset>489</wp:posOffset>
            </wp:positionV>
            <wp:extent cx="6379210" cy="8380095"/>
            <wp:effectExtent l="0" t="0" r="254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9210" cy="8380095"/>
                    </a:xfrm>
                    <a:prstGeom prst="rect">
                      <a:avLst/>
                    </a:prstGeom>
                    <a:noFill/>
                    <a:ln>
                      <a:noFill/>
                    </a:ln>
                  </pic:spPr>
                </pic:pic>
              </a:graphicData>
            </a:graphic>
          </wp:anchor>
        </w:drawing>
      </w:r>
    </w:p>
    <w:p w14:paraId="003613E0" w14:textId="7EDCDBDE" w:rsidR="00AC2A63" w:rsidRPr="00EF4218" w:rsidRDefault="00AC2A63" w:rsidP="006110D5">
      <w:pPr>
        <w:spacing w:line="480" w:lineRule="auto"/>
        <w:ind w:left="720"/>
        <w:jc w:val="both"/>
        <w:rPr>
          <w:rFonts w:ascii="Times New Roman" w:eastAsia="Times New Roman" w:hAnsi="Times New Roman" w:cs="Times New Roman"/>
        </w:rPr>
      </w:pPr>
    </w:p>
    <w:p w14:paraId="79F2C260" w14:textId="3108B823" w:rsidR="00326905" w:rsidRPr="00EF4218" w:rsidRDefault="00326905" w:rsidP="006110D5">
      <w:pPr>
        <w:spacing w:line="480" w:lineRule="auto"/>
        <w:jc w:val="both"/>
        <w:rPr>
          <w:rFonts w:ascii="Times New Roman" w:eastAsia="Times New Roman" w:hAnsi="Times New Roman" w:cs="Times New Roman"/>
          <w:lang w:val="en-US"/>
        </w:rPr>
      </w:pPr>
      <w:bookmarkStart w:id="16" w:name="_heading=h.7md6nr2e8xmj" w:colFirst="0" w:colLast="0"/>
      <w:bookmarkStart w:id="17" w:name="_Hlk236484989"/>
      <w:bookmarkEnd w:id="16"/>
      <w:r w:rsidRPr="00EF4218">
        <w:rPr>
          <w:rFonts w:ascii="Times New Roman" w:eastAsia="Times New Roman" w:hAnsi="Times New Roman" w:cs="Times New Roman"/>
        </w:rPr>
        <w:t xml:space="preserve">Beyond the quantitative deficit in state approvals, a profound "implementation gap" dictates migrant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management</w:t>
      </w:r>
      <w:r w:rsidRPr="00EF4218">
        <w:rPr>
          <w:rFonts w:ascii="Times New Roman" w:eastAsia="Times New Roman" w:hAnsi="Times New Roman" w:cs="Times New Roman"/>
          <w:lang w:val="en-US"/>
        </w:rPr>
        <w:t>,</w:t>
      </w:r>
      <w:r w:rsidRPr="00EF4218">
        <w:rPr>
          <w:rFonts w:ascii="Times New Roman" w:eastAsia="Times New Roman" w:hAnsi="Times New Roman" w:cs="Times New Roman"/>
        </w:rPr>
        <w:t xml:space="preserve"> manifest</w:t>
      </w:r>
      <w:proofErr w:type="spellStart"/>
      <w:r w:rsidRPr="00EF4218">
        <w:rPr>
          <w:rFonts w:ascii="Times New Roman" w:eastAsia="Times New Roman" w:hAnsi="Times New Roman" w:cs="Times New Roman"/>
          <w:lang w:val="en-US"/>
        </w:rPr>
        <w:t>ing</w:t>
      </w:r>
      <w:proofErr w:type="spellEnd"/>
      <w:r w:rsidRPr="00EF4218">
        <w:rPr>
          <w:rFonts w:ascii="Times New Roman" w:eastAsia="Times New Roman" w:hAnsi="Times New Roman" w:cs="Times New Roman"/>
        </w:rPr>
        <w:t xml:space="preserve"> systemically across the successive stages of the national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 (Figure 4). </w:t>
      </w:r>
    </w:p>
    <w:p w14:paraId="4BADA053" w14:textId="77121DFC" w:rsidR="00101320" w:rsidRPr="00EF4218" w:rsidRDefault="00101320"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Red</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Tape</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and</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Institutional</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Rigidity</w:t>
      </w:r>
      <w:r w:rsidR="007606DB"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A chain of bureaucratic obstacles severely undermines the invitation procedure, both in countries of origin and within the domestic territory. Abroad, acute dysfunctions prevail. Understaffed or absent consular authorities</w:t>
      </w:r>
      <w:r w:rsidR="006110D5" w:rsidRPr="006110D5">
        <w:rPr>
          <w:rFonts w:ascii="Times New Roman" w:eastAsia="Times New Roman" w:hAnsi="Times New Roman" w:cs="Times New Roman"/>
          <w:lang w:val="en-US"/>
        </w:rPr>
        <w:t xml:space="preserve">, </w:t>
      </w:r>
      <w:r w:rsidRPr="00EF4218">
        <w:rPr>
          <w:rFonts w:ascii="Times New Roman" w:eastAsia="Times New Roman" w:hAnsi="Times New Roman" w:cs="Times New Roman"/>
        </w:rPr>
        <w:t>exemplified by the forced transit of Bangladeshi nationals to India (</w:t>
      </w:r>
      <w:proofErr w:type="spellStart"/>
      <w:r w:rsidRPr="00EF4218">
        <w:rPr>
          <w:rFonts w:ascii="Times New Roman" w:eastAsia="Times New Roman" w:hAnsi="Times New Roman" w:cs="Times New Roman"/>
        </w:rPr>
        <w:t>Dimitriadi</w:t>
      </w:r>
      <w:proofErr w:type="spellEnd"/>
      <w:r w:rsidRPr="00EF4218">
        <w:rPr>
          <w:rFonts w:ascii="Times New Roman" w:eastAsia="Times New Roman" w:hAnsi="Times New Roman" w:cs="Times New Roman"/>
        </w:rPr>
        <w:t>, 2024)</w:t>
      </w:r>
      <w:r w:rsidR="006110D5" w:rsidRPr="006110D5">
        <w:rPr>
          <w:rFonts w:ascii="Times New Roman" w:eastAsia="Times New Roman" w:hAnsi="Times New Roman" w:cs="Times New Roman"/>
          <w:lang w:val="en-US"/>
        </w:rPr>
        <w:t xml:space="preserve">, </w:t>
      </w:r>
      <w:r w:rsidRPr="00EF4218">
        <w:rPr>
          <w:rFonts w:ascii="Times New Roman" w:eastAsia="Times New Roman" w:hAnsi="Times New Roman" w:cs="Times New Roman"/>
        </w:rPr>
        <w:t xml:space="preserve">and protracted verifications by Decentralized Administrations systematically delay the issuance of National Visas. Consequently, this temporal lag frequently eclipses the seasonal needs of </w:t>
      </w:r>
      <w:r w:rsidR="00775D83" w:rsidRPr="00EF4218">
        <w:rPr>
          <w:rFonts w:ascii="Times New Roman" w:eastAsia="Times New Roman" w:hAnsi="Times New Roman" w:cs="Times New Roman"/>
        </w:rPr>
        <w:t>businesses.</w:t>
      </w:r>
    </w:p>
    <w:p w14:paraId="31DEFE99" w14:textId="11B0CA50" w:rsidR="00775D83" w:rsidRPr="00EF4218" w:rsidRDefault="00775D83"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Domestically, institutional rigidity merely undergoes a spatial transformation rather than a resolution. As qualitative field research corroborates (Key Informant Interview with a </w:t>
      </w:r>
      <w:proofErr w:type="spellStart"/>
      <w:r w:rsidRPr="00EF4218">
        <w:rPr>
          <w:rFonts w:ascii="Times New Roman" w:eastAsia="Times New Roman" w:hAnsi="Times New Roman" w:cs="Times New Roman"/>
        </w:rPr>
        <w:t>specialised</w:t>
      </w:r>
      <w:proofErr w:type="spellEnd"/>
      <w:r w:rsidRPr="00EF4218">
        <w:rPr>
          <w:rFonts w:ascii="Times New Roman" w:eastAsia="Times New Roman" w:hAnsi="Times New Roman" w:cs="Times New Roman"/>
        </w:rPr>
        <w:t xml:space="preserve"> legal practitioner, 2026), securing foundational </w:t>
      </w:r>
      <w:proofErr w:type="spellStart"/>
      <w:r w:rsidRPr="00EF4218">
        <w:rPr>
          <w:rFonts w:ascii="Times New Roman" w:eastAsia="Times New Roman" w:hAnsi="Times New Roman" w:cs="Times New Roman"/>
        </w:rPr>
        <w:t>legalisation</w:t>
      </w:r>
      <w:proofErr w:type="spellEnd"/>
      <w:r w:rsidRPr="00EF4218">
        <w:rPr>
          <w:rFonts w:ascii="Times New Roman" w:eastAsia="Times New Roman" w:hAnsi="Times New Roman" w:cs="Times New Roman"/>
        </w:rPr>
        <w:t xml:space="preserve"> documents (Tax ID, Social Security Number, housing contracts) demands substantial time. Coupled with systematic delays in issuing final residence permits, these administrative hurdles generate an extensive temporal void prior to full and legal employment.</w:t>
      </w:r>
    </w:p>
    <w:bookmarkEnd w:id="17"/>
    <w:p w14:paraId="10F27D19" w14:textId="04A8B6A9" w:rsidR="00C450C0" w:rsidRPr="00EF4218" w:rsidRDefault="00C450C0"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Furthermore, Greece frequently operates as a "transit country". Following initial </w:t>
      </w:r>
      <w:proofErr w:type="spellStart"/>
      <w:r w:rsidRPr="00EF4218">
        <w:rPr>
          <w:rFonts w:ascii="Times New Roman" w:eastAsia="Times New Roman" w:hAnsi="Times New Roman" w:cs="Times New Roman"/>
        </w:rPr>
        <w:t>regularisation</w:t>
      </w:r>
      <w:proofErr w:type="spellEnd"/>
      <w:r w:rsidRPr="00EF4218">
        <w:rPr>
          <w:rFonts w:ascii="Times New Roman" w:eastAsia="Times New Roman" w:hAnsi="Times New Roman" w:cs="Times New Roman"/>
        </w:rPr>
        <w:t>, migrants often abandon their posts, initiating secondary movements towards Central and Northern Europe</w:t>
      </w:r>
      <w:r w:rsidRPr="00EF4218">
        <w:rPr>
          <w:rFonts w:ascii="Times New Roman" w:eastAsia="Times New Roman" w:hAnsi="Times New Roman" w:cs="Times New Roman"/>
          <w:lang w:val="en-US"/>
        </w:rPr>
        <w:t xml:space="preserve">, a </w:t>
      </w:r>
      <w:r w:rsidRPr="00EF4218">
        <w:rPr>
          <w:rFonts w:ascii="Times New Roman" w:eastAsia="Times New Roman" w:hAnsi="Times New Roman" w:cs="Times New Roman"/>
        </w:rPr>
        <w:t>mobility</w:t>
      </w:r>
      <w:r w:rsidR="007459EB">
        <w:rPr>
          <w:rFonts w:ascii="Times New Roman" w:eastAsia="Times New Roman" w:hAnsi="Times New Roman" w:cs="Times New Roman"/>
        </w:rPr>
        <w:t xml:space="preserve"> that</w:t>
      </w:r>
      <w:r w:rsidRPr="00EF4218">
        <w:rPr>
          <w:rFonts w:ascii="Times New Roman" w:eastAsia="Times New Roman" w:hAnsi="Times New Roman" w:cs="Times New Roman"/>
        </w:rPr>
        <w:t xml:space="preserve"> fundamentally dismantles employer planning. Correspondingly, the operational efficacy of bilateral agreements proves exceptionally limited. </w:t>
      </w:r>
    </w:p>
    <w:p w14:paraId="53A1C9A3" w14:textId="093D302C" w:rsidR="00AF5453" w:rsidRPr="008B0B1B" w:rsidRDefault="00C450C0" w:rsidP="00AF5453">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Finally, the procedure suffers from an absolute absence of modern digital matching institutions. Applying Bourdieu’s sociological paradigm, a dual systemic failure emerges: both small-to-</w:t>
      </w:r>
      <w:r w:rsidRPr="00EF4218">
        <w:rPr>
          <w:rFonts w:ascii="Times New Roman" w:eastAsia="Times New Roman" w:hAnsi="Times New Roman" w:cs="Times New Roman"/>
        </w:rPr>
        <w:lastRenderedPageBreak/>
        <w:t xml:space="preserve">medium employers and migrants lack the requisite "Digital Capital" to integrate into formal European digital platforms. This structural inability compels them to rely exclusively on their "Social Capital," </w:t>
      </w:r>
      <w:proofErr w:type="spellStart"/>
      <w:r w:rsidRPr="00EF4218">
        <w:rPr>
          <w:rFonts w:ascii="Times New Roman" w:eastAsia="Times New Roman" w:hAnsi="Times New Roman" w:cs="Times New Roman"/>
        </w:rPr>
        <w:t>mobilising</w:t>
      </w:r>
      <w:proofErr w:type="spellEnd"/>
      <w:r w:rsidRPr="00EF4218">
        <w:rPr>
          <w:rFonts w:ascii="Times New Roman" w:eastAsia="Times New Roman" w:hAnsi="Times New Roman" w:cs="Times New Roman"/>
        </w:rPr>
        <w:t xml:space="preserve"> informal, familial, or ethnic networks. Consequently, recruitment proceeds "blindly". Market actors base hiring decisions entirely on network availability rather than an objective evaluation of competencies. Ultimately, this informal mechanism fuels and perpetuates the skills mismatch phenomenon.</w:t>
      </w:r>
    </w:p>
    <w:p w14:paraId="0460FDCA" w14:textId="3A3CB031" w:rsidR="00AC2A63" w:rsidRPr="00EF4218" w:rsidRDefault="00000000" w:rsidP="006110D5">
      <w:pPr>
        <w:pStyle w:val="Heading3"/>
        <w:spacing w:line="480" w:lineRule="auto"/>
        <w:rPr>
          <w:rFonts w:ascii="Times New Roman" w:eastAsia="Times New Roman" w:hAnsi="Times New Roman" w:cs="Times New Roman"/>
          <w:b/>
          <w:bCs/>
          <w:color w:val="000000"/>
          <w:sz w:val="24"/>
          <w:szCs w:val="24"/>
          <w:lang w:val="en-US"/>
        </w:rPr>
      </w:pPr>
      <w:bookmarkStart w:id="18" w:name="_Toc239090984"/>
      <w:r w:rsidRPr="00EF4218">
        <w:rPr>
          <w:rFonts w:ascii="Times New Roman" w:eastAsia="Times New Roman" w:hAnsi="Times New Roman" w:cs="Times New Roman"/>
          <w:b/>
          <w:bCs/>
          <w:color w:val="000000"/>
          <w:sz w:val="24"/>
          <w:szCs w:val="24"/>
        </w:rPr>
        <w:t>Brain</w:t>
      </w:r>
      <w:r w:rsidRPr="00EF4218">
        <w:rPr>
          <w:rFonts w:ascii="Times New Roman" w:eastAsia="Times New Roman" w:hAnsi="Times New Roman" w:cs="Times New Roman"/>
          <w:b/>
          <w:bCs/>
          <w:color w:val="000000"/>
          <w:sz w:val="24"/>
          <w:szCs w:val="24"/>
          <w:lang w:val="en-US"/>
        </w:rPr>
        <w:t xml:space="preserve"> </w:t>
      </w:r>
      <w:r w:rsidRPr="00EF4218">
        <w:rPr>
          <w:rFonts w:ascii="Times New Roman" w:eastAsia="Times New Roman" w:hAnsi="Times New Roman" w:cs="Times New Roman"/>
          <w:b/>
          <w:bCs/>
          <w:color w:val="000000"/>
          <w:sz w:val="24"/>
          <w:szCs w:val="24"/>
        </w:rPr>
        <w:t>Gain</w:t>
      </w:r>
      <w:r w:rsidR="00FC2ADD" w:rsidRPr="00EF4218">
        <w:rPr>
          <w:rFonts w:ascii="Times New Roman" w:eastAsia="Times New Roman" w:hAnsi="Times New Roman" w:cs="Times New Roman"/>
          <w:b/>
          <w:bCs/>
          <w:color w:val="000000"/>
          <w:sz w:val="24"/>
          <w:szCs w:val="24"/>
        </w:rPr>
        <w:t xml:space="preserve"> Policy</w:t>
      </w:r>
      <w:r w:rsidRPr="00EF4218">
        <w:rPr>
          <w:rFonts w:ascii="Times New Roman" w:eastAsia="Times New Roman" w:hAnsi="Times New Roman" w:cs="Times New Roman"/>
          <w:b/>
          <w:bCs/>
          <w:color w:val="000000"/>
          <w:sz w:val="24"/>
          <w:szCs w:val="24"/>
          <w:lang w:val="en-US"/>
        </w:rPr>
        <w:t xml:space="preserve">: </w:t>
      </w:r>
      <w:r w:rsidR="00FC2ADD" w:rsidRPr="00EF4218">
        <w:rPr>
          <w:rFonts w:ascii="Times New Roman" w:eastAsia="Times New Roman" w:hAnsi="Times New Roman" w:cs="Times New Roman"/>
          <w:b/>
          <w:bCs/>
          <w:color w:val="000000"/>
          <w:sz w:val="24"/>
          <w:szCs w:val="24"/>
          <w:lang w:val="en-US"/>
        </w:rPr>
        <w:t>The</w:t>
      </w:r>
      <w:r w:rsidRPr="00EF4218">
        <w:rPr>
          <w:rFonts w:ascii="Times New Roman" w:eastAsia="Times New Roman" w:hAnsi="Times New Roman" w:cs="Times New Roman"/>
          <w:b/>
          <w:bCs/>
          <w:color w:val="000000"/>
          <w:sz w:val="24"/>
          <w:szCs w:val="24"/>
          <w:lang w:val="en-US"/>
        </w:rPr>
        <w:t xml:space="preserve"> </w:t>
      </w:r>
      <w:r w:rsidR="00FC2ADD" w:rsidRPr="00EF4218">
        <w:rPr>
          <w:rFonts w:ascii="Times New Roman" w:eastAsia="Times New Roman" w:hAnsi="Times New Roman" w:cs="Times New Roman"/>
          <w:b/>
          <w:bCs/>
          <w:color w:val="000000"/>
          <w:sz w:val="24"/>
          <w:szCs w:val="24"/>
          <w:lang w:val="en-US"/>
        </w:rPr>
        <w:t>Greek</w:t>
      </w:r>
      <w:r w:rsidRPr="00EF4218">
        <w:rPr>
          <w:rFonts w:ascii="Times New Roman" w:eastAsia="Times New Roman" w:hAnsi="Times New Roman" w:cs="Times New Roman"/>
          <w:b/>
          <w:bCs/>
          <w:color w:val="000000"/>
          <w:sz w:val="24"/>
          <w:szCs w:val="24"/>
          <w:lang w:val="en-US"/>
        </w:rPr>
        <w:t xml:space="preserve"> «</w:t>
      </w:r>
      <w:r w:rsidRPr="00EF4218">
        <w:rPr>
          <w:rFonts w:ascii="Times New Roman" w:eastAsia="Times New Roman" w:hAnsi="Times New Roman" w:cs="Times New Roman"/>
          <w:b/>
          <w:bCs/>
          <w:color w:val="000000"/>
          <w:sz w:val="24"/>
          <w:szCs w:val="24"/>
        </w:rPr>
        <w:t>Talent</w:t>
      </w:r>
      <w:r w:rsidRPr="00EF4218">
        <w:rPr>
          <w:rFonts w:ascii="Times New Roman" w:eastAsia="Times New Roman" w:hAnsi="Times New Roman" w:cs="Times New Roman"/>
          <w:b/>
          <w:bCs/>
          <w:color w:val="000000"/>
          <w:sz w:val="24"/>
          <w:szCs w:val="24"/>
          <w:lang w:val="en-US"/>
        </w:rPr>
        <w:t xml:space="preserve"> </w:t>
      </w:r>
      <w:r w:rsidRPr="00EF4218">
        <w:rPr>
          <w:rFonts w:ascii="Times New Roman" w:eastAsia="Times New Roman" w:hAnsi="Times New Roman" w:cs="Times New Roman"/>
          <w:b/>
          <w:bCs/>
          <w:color w:val="000000"/>
          <w:sz w:val="24"/>
          <w:szCs w:val="24"/>
        </w:rPr>
        <w:t>Pool</w:t>
      </w:r>
      <w:r w:rsidRPr="00EF4218">
        <w:rPr>
          <w:rFonts w:ascii="Times New Roman" w:eastAsia="Times New Roman" w:hAnsi="Times New Roman" w:cs="Times New Roman"/>
          <w:b/>
          <w:bCs/>
          <w:color w:val="000000"/>
          <w:sz w:val="24"/>
          <w:szCs w:val="24"/>
          <w:lang w:val="en-US"/>
        </w:rPr>
        <w:t>»</w:t>
      </w:r>
      <w:bookmarkEnd w:id="18"/>
    </w:p>
    <w:p w14:paraId="29C28BD7" w14:textId="77777777" w:rsidR="00FC2ADD" w:rsidRPr="00EF4218" w:rsidRDefault="00FC2ADD"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 xml:space="preserve">During the prolonged economic recession (2010-2020), a severe 25% GDP contraction inflicted dramatic consequences upon the Greek </w:t>
      </w:r>
      <w:proofErr w:type="spellStart"/>
      <w:r w:rsidRPr="00EF4218">
        <w:rPr>
          <w:rFonts w:ascii="Times New Roman" w:eastAsia="Times New Roman" w:hAnsi="Times New Roman" w:cs="Times New Roman"/>
          <w:lang w:val="en-US"/>
        </w:rPr>
        <w:t>labour</w:t>
      </w:r>
      <w:proofErr w:type="spellEnd"/>
      <w:r w:rsidRPr="00EF4218">
        <w:rPr>
          <w:rFonts w:ascii="Times New Roman" w:eastAsia="Times New Roman" w:hAnsi="Times New Roman" w:cs="Times New Roman"/>
          <w:lang w:val="en-US"/>
        </w:rPr>
        <w:t xml:space="preserve"> market. An immediate consequence was the mass exodus of approximately 660,000 young and highly skilled professionals, triggering a severe brain drain. According to a OECD thematic report (2026, A Review of Greek Emigrants), this leakage of scientific personnel created a profound developmental deficit, systematically depriving the national economy of productive capital while exacerbating the acute demographic problem.</w:t>
      </w:r>
    </w:p>
    <w:p w14:paraId="6FB5B3B5" w14:textId="091F4667" w:rsidR="00FC2ADD" w:rsidRPr="00EF4218" w:rsidRDefault="00FC2ADD"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To counteract this structural disinvestment, the state implemented targeted repatriation measures (brain gain). Key institutional pillars included the establishment of the Hellenic Foundation for Research and Innovation (ELIDEK, Law 4429/2016), the "Knowledge and Partnership Bridges" initiative (2017), and the enactment of special tax incentives. Specifically, Article 5C of the Income Tax Code (Law 4758/2020) provides a 50% income tax exemption for seven years to individuals transferring their tax residence to Greece. Finally, authorities activated the "</w:t>
      </w:r>
      <w:proofErr w:type="spellStart"/>
      <w:r w:rsidRPr="00EF4218">
        <w:rPr>
          <w:rFonts w:ascii="Times New Roman" w:eastAsia="Times New Roman" w:hAnsi="Times New Roman" w:cs="Times New Roman"/>
          <w:lang w:val="en-US"/>
        </w:rPr>
        <w:t>Rebrain</w:t>
      </w:r>
      <w:proofErr w:type="spellEnd"/>
      <w:r w:rsidRPr="00EF4218">
        <w:rPr>
          <w:rFonts w:ascii="Times New Roman" w:eastAsia="Times New Roman" w:hAnsi="Times New Roman" w:cs="Times New Roman"/>
          <w:lang w:val="en-US"/>
        </w:rPr>
        <w:t xml:space="preserve"> Greece" digital platform to connect the diaspora with domestic technology enterprises.</w:t>
      </w:r>
    </w:p>
    <w:p w14:paraId="6AC728ED" w14:textId="70AEF5C1" w:rsidR="00830FCB" w:rsidRPr="00EF4218" w:rsidRDefault="00830FCB"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 xml:space="preserve">However, policy evaluation demonstrates a stark divergence between institutional intentions and actual outcomes. The partial reversal of outflows in recent years stems from broader </w:t>
      </w:r>
      <w:r w:rsidRPr="00EF4218">
        <w:rPr>
          <w:rFonts w:ascii="Times New Roman" w:eastAsia="Times New Roman" w:hAnsi="Times New Roman" w:cs="Times New Roman"/>
          <w:lang w:val="en-US"/>
        </w:rPr>
        <w:lastRenderedPageBreak/>
        <w:t>macroeconomic recovery rather than state interventions. Indicatively, Independent Authority for Public Revenue (AADE) data reveal that fewer than 4,000 approvals for Article 5C were recorded up to 2024 (Capital.gr, 2024</w:t>
      </w:r>
      <w:r w:rsidR="00E95C16" w:rsidRPr="00EF4218">
        <w:rPr>
          <w:rFonts w:ascii="Times New Roman" w:eastAsia="Times New Roman" w:hAnsi="Times New Roman" w:cs="Times New Roman"/>
          <w:lang w:val="en-US"/>
        </w:rPr>
        <w:t>), a</w:t>
      </w:r>
      <w:r w:rsidRPr="00EF4218">
        <w:rPr>
          <w:rFonts w:ascii="Times New Roman" w:eastAsia="Times New Roman" w:hAnsi="Times New Roman" w:cs="Times New Roman"/>
        </w:rPr>
        <w:t xml:space="preserve"> figure corresponding to </w:t>
      </w:r>
      <w:r w:rsidRPr="00EF4218">
        <w:rPr>
          <w:rFonts w:ascii="Times New Roman" w:eastAsia="Times New Roman" w:hAnsi="Times New Roman" w:cs="Times New Roman"/>
          <w:lang w:val="en-US"/>
        </w:rPr>
        <w:t xml:space="preserve">a mere 0.61% of total crisis-era outflows. Correspondingly, the </w:t>
      </w:r>
      <w:proofErr w:type="spellStart"/>
      <w:r w:rsidRPr="00EF4218">
        <w:rPr>
          <w:rFonts w:ascii="Times New Roman" w:eastAsia="Times New Roman" w:hAnsi="Times New Roman" w:cs="Times New Roman"/>
          <w:lang w:val="en-US"/>
        </w:rPr>
        <w:t>Rebrain</w:t>
      </w:r>
      <w:proofErr w:type="spellEnd"/>
      <w:r w:rsidRPr="00EF4218">
        <w:rPr>
          <w:rFonts w:ascii="Times New Roman" w:eastAsia="Times New Roman" w:hAnsi="Times New Roman" w:cs="Times New Roman"/>
          <w:lang w:val="en-US"/>
        </w:rPr>
        <w:t xml:space="preserve"> Greece platform achieved limited penetration. </w:t>
      </w:r>
    </w:p>
    <w:p w14:paraId="7579F704" w14:textId="1A57FD9F" w:rsidR="00830FCB" w:rsidRPr="00EF4218" w:rsidRDefault="00830FCB"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As the OECD report confirms, fragmented digital platforms and restricted tax incentives fail to reverse the profound wage gap between Greece and the</w:t>
      </w:r>
      <w:r w:rsidR="00E95C16" w:rsidRPr="00EF4218">
        <w:rPr>
          <w:rFonts w:ascii="Times New Roman" w:eastAsia="Times New Roman" w:hAnsi="Times New Roman" w:cs="Times New Roman"/>
          <w:lang w:val="en-US"/>
        </w:rPr>
        <w:t xml:space="preserve"> rest of the EU</w:t>
      </w:r>
      <w:r w:rsidRPr="00EF4218">
        <w:rPr>
          <w:rFonts w:ascii="Times New Roman" w:eastAsia="Times New Roman" w:hAnsi="Times New Roman" w:cs="Times New Roman"/>
          <w:lang w:val="en-US"/>
        </w:rPr>
        <w:t xml:space="preserve">. Reversing the phenomenon necessitates a broader institutional upgrading of the productive paradigm, wage convergence, the consolidation of meritocracy, and a substantial improvement in working conditions. </w:t>
      </w:r>
    </w:p>
    <w:p w14:paraId="6B003B70" w14:textId="10625A1B" w:rsidR="00AC2A63" w:rsidRPr="008B0B1B" w:rsidRDefault="00830FCB"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Given the limited efficacy of national mechanisms, examining the supranational dimension of skilled workforce management is imperative</w:t>
      </w:r>
      <w:r w:rsidR="00E95C16" w:rsidRPr="00EF4218">
        <w:rPr>
          <w:rFonts w:ascii="Times New Roman" w:eastAsia="Times New Roman" w:hAnsi="Times New Roman" w:cs="Times New Roman"/>
        </w:rPr>
        <w:t xml:space="preserve">; thus, the </w:t>
      </w:r>
      <w:r w:rsidRPr="00EF4218">
        <w:rPr>
          <w:rFonts w:ascii="Times New Roman" w:eastAsia="Times New Roman" w:hAnsi="Times New Roman" w:cs="Times New Roman"/>
          <w:lang w:val="en-US"/>
        </w:rPr>
        <w:t xml:space="preserve">subsequent chapter analyses the </w:t>
      </w:r>
      <w:r w:rsidR="00FD0762" w:rsidRPr="00EF4218">
        <w:rPr>
          <w:rFonts w:ascii="Times New Roman" w:eastAsia="Times New Roman" w:hAnsi="Times New Roman" w:cs="Times New Roman"/>
          <w:lang w:val="en-US"/>
        </w:rPr>
        <w:t>European</w:t>
      </w:r>
      <w:r w:rsidRPr="00EF4218">
        <w:rPr>
          <w:rFonts w:ascii="Times New Roman" w:eastAsia="Times New Roman" w:hAnsi="Times New Roman" w:cs="Times New Roman"/>
          <w:lang w:val="en-US"/>
        </w:rPr>
        <w:t xml:space="preserve"> </w:t>
      </w:r>
      <w:r w:rsidR="00E95C16" w:rsidRPr="00EF4218">
        <w:rPr>
          <w:rFonts w:ascii="Times New Roman" w:eastAsia="Times New Roman" w:hAnsi="Times New Roman" w:cs="Times New Roman"/>
          <w:lang w:val="en-US"/>
        </w:rPr>
        <w:t>e</w:t>
      </w:r>
      <w:r w:rsidRPr="00EF4218">
        <w:rPr>
          <w:rFonts w:ascii="Times New Roman" w:eastAsia="Times New Roman" w:hAnsi="Times New Roman" w:cs="Times New Roman"/>
          <w:lang w:val="en-US"/>
        </w:rPr>
        <w:t xml:space="preserve">mployment </w:t>
      </w:r>
      <w:r w:rsidR="00E95C16" w:rsidRPr="00EF4218">
        <w:rPr>
          <w:rFonts w:ascii="Times New Roman" w:eastAsia="Times New Roman" w:hAnsi="Times New Roman" w:cs="Times New Roman"/>
          <w:lang w:val="en-US"/>
        </w:rPr>
        <w:t>p</w:t>
      </w:r>
      <w:r w:rsidRPr="00EF4218">
        <w:rPr>
          <w:rFonts w:ascii="Times New Roman" w:eastAsia="Times New Roman" w:hAnsi="Times New Roman" w:cs="Times New Roman"/>
          <w:lang w:val="en-US"/>
        </w:rPr>
        <w:t xml:space="preserve">olicy strategy and the architecture of the EU Talent Pool. This analysis aims to evaluate the degree of compatibility between these supranational tools and the structural pathologies and actual needs of the domestic </w:t>
      </w:r>
      <w:proofErr w:type="spellStart"/>
      <w:r w:rsidRPr="00EF4218">
        <w:rPr>
          <w:rFonts w:ascii="Times New Roman" w:eastAsia="Times New Roman" w:hAnsi="Times New Roman" w:cs="Times New Roman"/>
          <w:lang w:val="en-US"/>
        </w:rPr>
        <w:t>labour</w:t>
      </w:r>
      <w:proofErr w:type="spellEnd"/>
      <w:r w:rsidRPr="00EF4218">
        <w:rPr>
          <w:rFonts w:ascii="Times New Roman" w:eastAsia="Times New Roman" w:hAnsi="Times New Roman" w:cs="Times New Roman"/>
          <w:lang w:val="en-US"/>
        </w:rPr>
        <w:t xml:space="preserve"> market.</w:t>
      </w:r>
    </w:p>
    <w:p w14:paraId="693C1147" w14:textId="00BFCEE8" w:rsidR="00F44BCF" w:rsidRPr="008A62BF" w:rsidRDefault="00000000" w:rsidP="00AB3BFA">
      <w:pPr>
        <w:pStyle w:val="Heading1"/>
        <w:spacing w:line="480" w:lineRule="auto"/>
        <w:jc w:val="center"/>
        <w:rPr>
          <w:rFonts w:ascii="Times New Roman" w:eastAsia="Times New Roman" w:hAnsi="Times New Roman" w:cs="Times New Roman"/>
          <w:b/>
          <w:bCs/>
          <w:color w:val="000000"/>
          <w:sz w:val="24"/>
          <w:szCs w:val="24"/>
          <w:lang w:val="en-US"/>
        </w:rPr>
      </w:pPr>
      <w:bookmarkStart w:id="19" w:name="_Toc239090985"/>
      <w:r w:rsidRPr="00EF4218">
        <w:rPr>
          <w:rFonts w:ascii="Times New Roman" w:eastAsia="Times New Roman" w:hAnsi="Times New Roman" w:cs="Times New Roman"/>
          <w:b/>
          <w:bCs/>
          <w:color w:val="000000"/>
          <w:sz w:val="24"/>
          <w:szCs w:val="24"/>
        </w:rPr>
        <w:t>Chapter</w:t>
      </w:r>
      <w:r w:rsidRPr="00EF4218">
        <w:rPr>
          <w:rFonts w:ascii="Times New Roman" w:eastAsia="Times New Roman" w:hAnsi="Times New Roman" w:cs="Times New Roman"/>
          <w:b/>
          <w:bCs/>
          <w:color w:val="000000"/>
          <w:sz w:val="24"/>
          <w:szCs w:val="24"/>
          <w:lang w:val="en-US"/>
        </w:rPr>
        <w:t xml:space="preserve"> 4. </w:t>
      </w:r>
      <w:r w:rsidR="00F44BCF" w:rsidRPr="00EF4218">
        <w:rPr>
          <w:rFonts w:ascii="Times New Roman" w:eastAsia="Times New Roman" w:hAnsi="Times New Roman" w:cs="Times New Roman"/>
          <w:b/>
          <w:bCs/>
          <w:color w:val="000000"/>
          <w:sz w:val="24"/>
          <w:szCs w:val="24"/>
        </w:rPr>
        <w:t xml:space="preserve">European Policies for Augmenting </w:t>
      </w:r>
      <w:proofErr w:type="spellStart"/>
      <w:r w:rsidR="00F44BCF" w:rsidRPr="00EF4218">
        <w:rPr>
          <w:rFonts w:ascii="Times New Roman" w:eastAsia="Times New Roman" w:hAnsi="Times New Roman" w:cs="Times New Roman"/>
          <w:b/>
          <w:bCs/>
          <w:color w:val="000000"/>
          <w:sz w:val="24"/>
          <w:szCs w:val="24"/>
        </w:rPr>
        <w:t>Labour</w:t>
      </w:r>
      <w:proofErr w:type="spellEnd"/>
      <w:r w:rsidR="00F44BCF" w:rsidRPr="00EF4218">
        <w:rPr>
          <w:rFonts w:ascii="Times New Roman" w:eastAsia="Times New Roman" w:hAnsi="Times New Roman" w:cs="Times New Roman"/>
          <w:b/>
          <w:bCs/>
          <w:color w:val="000000"/>
          <w:sz w:val="24"/>
          <w:szCs w:val="24"/>
        </w:rPr>
        <w:t xml:space="preserve"> Supply Through Workforce Attraction</w:t>
      </w:r>
      <w:bookmarkEnd w:id="19"/>
    </w:p>
    <w:p w14:paraId="556E509F" w14:textId="5104129C" w:rsidR="00F44BCF" w:rsidRPr="00EF4218" w:rsidRDefault="00F44BCF"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 xml:space="preserve">This chapter examines EU policy regarding third-country nationals, structuring the analysis across three pillars. The New Pact on Migration and Asylum </w:t>
      </w:r>
      <w:proofErr w:type="spellStart"/>
      <w:r w:rsidRPr="00EF4218">
        <w:rPr>
          <w:rFonts w:ascii="Times New Roman" w:eastAsia="Times New Roman" w:hAnsi="Times New Roman" w:cs="Times New Roman"/>
          <w:lang w:val="en-US"/>
        </w:rPr>
        <w:t>prioritises</w:t>
      </w:r>
      <w:proofErr w:type="spellEnd"/>
      <w:r w:rsidRPr="00EF4218">
        <w:rPr>
          <w:rFonts w:ascii="Times New Roman" w:eastAsia="Times New Roman" w:hAnsi="Times New Roman" w:cs="Times New Roman"/>
          <w:lang w:val="en-US"/>
        </w:rPr>
        <w:t xml:space="preserve"> legal pathways as an instrument to fulfill </w:t>
      </w:r>
      <w:proofErr w:type="spellStart"/>
      <w:r w:rsidRPr="00EF4218">
        <w:rPr>
          <w:rFonts w:ascii="Times New Roman" w:eastAsia="Times New Roman" w:hAnsi="Times New Roman" w:cs="Times New Roman"/>
          <w:lang w:val="en-US"/>
        </w:rPr>
        <w:t>labour</w:t>
      </w:r>
      <w:proofErr w:type="spellEnd"/>
      <w:r w:rsidRPr="00EF4218">
        <w:rPr>
          <w:rFonts w:ascii="Times New Roman" w:eastAsia="Times New Roman" w:hAnsi="Times New Roman" w:cs="Times New Roman"/>
          <w:lang w:val="en-US"/>
        </w:rPr>
        <w:t xml:space="preserve"> demands,</w:t>
      </w:r>
      <w:r w:rsidR="0078301B" w:rsidRPr="00EF4218">
        <w:rPr>
          <w:rFonts w:ascii="Times New Roman" w:eastAsia="Times New Roman" w:hAnsi="Times New Roman" w:cs="Times New Roman"/>
          <w:lang w:val="en-US"/>
        </w:rPr>
        <w:t xml:space="preserve"> while</w:t>
      </w:r>
      <w:r w:rsidRPr="00EF4218">
        <w:rPr>
          <w:rFonts w:ascii="Times New Roman" w:eastAsia="Times New Roman" w:hAnsi="Times New Roman" w:cs="Times New Roman"/>
          <w:lang w:val="en-US"/>
        </w:rPr>
        <w:t xml:space="preserve"> Guideline 6 elevates the </w:t>
      </w:r>
      <w:proofErr w:type="spellStart"/>
      <w:r w:rsidRPr="00EF4218">
        <w:rPr>
          <w:rFonts w:ascii="Times New Roman" w:eastAsia="Times New Roman" w:hAnsi="Times New Roman" w:cs="Times New Roman"/>
          <w:lang w:val="en-US"/>
        </w:rPr>
        <w:t>utilisation</w:t>
      </w:r>
      <w:proofErr w:type="spellEnd"/>
      <w:r w:rsidRPr="00EF4218">
        <w:rPr>
          <w:rFonts w:ascii="Times New Roman" w:eastAsia="Times New Roman" w:hAnsi="Times New Roman" w:cs="Times New Roman"/>
          <w:lang w:val="en-US"/>
        </w:rPr>
        <w:t xml:space="preserve"> of migrant capital into a primary catalyst for achieving broader socio-economic objectives. The convergence of these migration and employment policies </w:t>
      </w:r>
      <w:proofErr w:type="spellStart"/>
      <w:r w:rsidRPr="00EF4218">
        <w:rPr>
          <w:rFonts w:ascii="Times New Roman" w:eastAsia="Times New Roman" w:hAnsi="Times New Roman" w:cs="Times New Roman"/>
          <w:lang w:val="en-US"/>
        </w:rPr>
        <w:t>crystallises</w:t>
      </w:r>
      <w:proofErr w:type="spellEnd"/>
      <w:r w:rsidRPr="00EF4218">
        <w:rPr>
          <w:rFonts w:ascii="Times New Roman" w:eastAsia="Times New Roman" w:hAnsi="Times New Roman" w:cs="Times New Roman"/>
          <w:lang w:val="en-US"/>
        </w:rPr>
        <w:t xml:space="preserve"> in the EU Talent Pool</w:t>
      </w:r>
      <w:r w:rsidR="0078301B" w:rsidRPr="00EF4218">
        <w:rPr>
          <w:rFonts w:ascii="Times New Roman" w:eastAsia="Times New Roman" w:hAnsi="Times New Roman" w:cs="Times New Roman"/>
          <w:lang w:val="en-US"/>
        </w:rPr>
        <w:t xml:space="preserve">, a </w:t>
      </w:r>
      <w:r w:rsidRPr="00EF4218">
        <w:rPr>
          <w:rFonts w:ascii="Times New Roman" w:eastAsia="Times New Roman" w:hAnsi="Times New Roman" w:cs="Times New Roman"/>
          <w:lang w:val="en-US"/>
        </w:rPr>
        <w:t>platform</w:t>
      </w:r>
      <w:r w:rsidR="0078301B" w:rsidRPr="00EF4218">
        <w:rPr>
          <w:rFonts w:ascii="Times New Roman" w:eastAsia="Times New Roman" w:hAnsi="Times New Roman" w:cs="Times New Roman"/>
          <w:lang w:val="en-US"/>
        </w:rPr>
        <w:t xml:space="preserve"> that</w:t>
      </w:r>
      <w:r w:rsidRPr="00EF4218">
        <w:rPr>
          <w:rFonts w:ascii="Times New Roman" w:eastAsia="Times New Roman" w:hAnsi="Times New Roman" w:cs="Times New Roman"/>
          <w:lang w:val="en-US"/>
        </w:rPr>
        <w:t xml:space="preserve"> constitutes the preeminent institutional mechanism for attracting a highly skilled workforce to Europe.</w:t>
      </w:r>
    </w:p>
    <w:p w14:paraId="4B114519" w14:textId="29B38E80" w:rsidR="0013280E" w:rsidRPr="00EF4218" w:rsidRDefault="0013280E" w:rsidP="006110D5">
      <w:pPr>
        <w:pStyle w:val="Heading2"/>
        <w:spacing w:line="480" w:lineRule="auto"/>
        <w:rPr>
          <w:rFonts w:ascii="Times New Roman" w:eastAsia="Times New Roman" w:hAnsi="Times New Roman" w:cs="Times New Roman"/>
          <w:b/>
          <w:bCs/>
          <w:color w:val="000000"/>
          <w:sz w:val="24"/>
          <w:szCs w:val="24"/>
          <w:lang w:val="en-US"/>
        </w:rPr>
      </w:pPr>
      <w:bookmarkStart w:id="20" w:name="_Toc239090986"/>
      <w:r w:rsidRPr="00EF4218">
        <w:rPr>
          <w:rFonts w:ascii="Times New Roman" w:eastAsia="Times New Roman" w:hAnsi="Times New Roman" w:cs="Times New Roman"/>
          <w:b/>
          <w:bCs/>
          <w:color w:val="000000"/>
          <w:sz w:val="24"/>
          <w:szCs w:val="24"/>
        </w:rPr>
        <w:lastRenderedPageBreak/>
        <w:t>The New Pact on Migration and Asylum</w:t>
      </w:r>
      <w:bookmarkEnd w:id="20"/>
    </w:p>
    <w:p w14:paraId="56E1D388" w14:textId="5E0A3094" w:rsidR="0013280E" w:rsidRPr="00EF4218" w:rsidRDefault="0013280E"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The architecture of the New Pact culminates in its fourth strategic pillar, which decisively shifts the policy focus from border management to </w:t>
      </w:r>
      <w:proofErr w:type="spellStart"/>
      <w:r w:rsidRPr="00EF4218">
        <w:rPr>
          <w:rFonts w:ascii="Times New Roman" w:eastAsia="Times New Roman" w:hAnsi="Times New Roman" w:cs="Times New Roman"/>
        </w:rPr>
        <w:t>institutionalising</w:t>
      </w:r>
      <w:proofErr w:type="spellEnd"/>
      <w:r w:rsidRPr="00EF4218">
        <w:rPr>
          <w:rFonts w:ascii="Times New Roman" w:eastAsia="Times New Roman" w:hAnsi="Times New Roman" w:cs="Times New Roman"/>
        </w:rPr>
        <w:t xml:space="preserve"> legal pathways for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mobility. As the European Commission (2024) articulates, this strategy aims to "integrate migration into international partnerships"</w:t>
      </w:r>
      <w:r w:rsidR="008840AF">
        <w:rPr>
          <w:rFonts w:ascii="Times New Roman" w:eastAsia="Times New Roman" w:hAnsi="Times New Roman" w:cs="Times New Roman"/>
        </w:rPr>
        <w:t>,</w:t>
      </w:r>
      <w:r w:rsidRPr="00EF4218">
        <w:rPr>
          <w:rFonts w:ascii="Times New Roman" w:eastAsia="Times New Roman" w:hAnsi="Times New Roman" w:cs="Times New Roman"/>
        </w:rPr>
        <w:t xml:space="preserve"> a concept structurally embodied by the EU Talent Pool. It represents the inaugural supranational platform facilitating international recruitment; through Talent Partnerships, the platform aspires to attract third-country nationals for employment within the European territory. </w:t>
      </w:r>
    </w:p>
    <w:p w14:paraId="422710A1" w14:textId="09B4C17D" w:rsidR="00247909" w:rsidRPr="00EF4218" w:rsidRDefault="00247909"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Consequently, the EU grants access to migration channels strictly contingent upon third-country nationals possessing specific skills and expertise absent from the European economy. Theoretically, this paradigm achieves a dual objective</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lang w:val="el-GR"/>
        </w:rPr>
        <w:t>ο</w:t>
      </w:r>
      <w:proofErr w:type="spellStart"/>
      <w:r w:rsidRPr="00EF4218">
        <w:rPr>
          <w:rFonts w:ascii="Times New Roman" w:eastAsia="Times New Roman" w:hAnsi="Times New Roman" w:cs="Times New Roman"/>
        </w:rPr>
        <w:t>rigin</w:t>
      </w:r>
      <w:proofErr w:type="spellEnd"/>
      <w:r w:rsidRPr="00EF4218">
        <w:rPr>
          <w:rFonts w:ascii="Times New Roman" w:eastAsia="Times New Roman" w:hAnsi="Times New Roman" w:cs="Times New Roman"/>
        </w:rPr>
        <w:t xml:space="preserve"> countries benefit from reduced domestic unemployment and increased remittance inflows</w:t>
      </w:r>
      <w:r w:rsidR="008B3A47" w:rsidRPr="00EF4218">
        <w:rPr>
          <w:rFonts w:ascii="Times New Roman" w:eastAsia="Times New Roman" w:hAnsi="Times New Roman" w:cs="Times New Roman"/>
          <w:lang w:val="en-US"/>
        </w:rPr>
        <w:t>, while</w:t>
      </w:r>
      <w:r w:rsidRPr="00EF4218">
        <w:rPr>
          <w:rFonts w:ascii="Times New Roman" w:eastAsia="Times New Roman" w:hAnsi="Times New Roman" w:cs="Times New Roman"/>
        </w:rPr>
        <w:t xml:space="preserve"> the European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fortifies itself against acute demographic pressures. </w:t>
      </w:r>
      <w:r w:rsidR="008B3A47" w:rsidRPr="00EF4218">
        <w:rPr>
          <w:rFonts w:ascii="Times New Roman" w:eastAsia="Times New Roman" w:hAnsi="Times New Roman" w:cs="Times New Roman"/>
        </w:rPr>
        <w:t>By doing so, i</w:t>
      </w:r>
      <w:r w:rsidRPr="00EF4218">
        <w:rPr>
          <w:rFonts w:ascii="Times New Roman" w:eastAsia="Times New Roman" w:hAnsi="Times New Roman" w:cs="Times New Roman"/>
        </w:rPr>
        <w:t xml:space="preserve">t extracts a "certified" and highly skilled workforce, fully capable of immediate integration into the productive fabric. </w:t>
      </w:r>
    </w:p>
    <w:p w14:paraId="51687E28" w14:textId="3DF24C5B" w:rsidR="00AC2A63" w:rsidRPr="00EF4218" w:rsidRDefault="008B3A47"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Regulation (EU) 2024/1351 legally </w:t>
      </w:r>
      <w:proofErr w:type="spellStart"/>
      <w:r w:rsidRPr="00EF4218">
        <w:rPr>
          <w:rFonts w:ascii="Times New Roman" w:eastAsia="Times New Roman" w:hAnsi="Times New Roman" w:cs="Times New Roman"/>
        </w:rPr>
        <w:t>crystallises</w:t>
      </w:r>
      <w:proofErr w:type="spellEnd"/>
      <w:r w:rsidRPr="00EF4218">
        <w:rPr>
          <w:rFonts w:ascii="Times New Roman" w:eastAsia="Times New Roman" w:hAnsi="Times New Roman" w:cs="Times New Roman"/>
        </w:rPr>
        <w:t xml:space="preserve"> this strategy. Transcending the narrow administrative logic of its predecessor (the Dublin III Regulation), it introduces the principle of a "comprehensive approach", </w:t>
      </w:r>
      <w:proofErr w:type="spellStart"/>
      <w:r w:rsidRPr="00EF4218">
        <w:rPr>
          <w:rFonts w:ascii="Times New Roman" w:eastAsia="Times New Roman" w:hAnsi="Times New Roman" w:cs="Times New Roman"/>
        </w:rPr>
        <w:t>institutionalising</w:t>
      </w:r>
      <w:proofErr w:type="spellEnd"/>
      <w:r w:rsidRPr="00EF4218">
        <w:rPr>
          <w:rFonts w:ascii="Times New Roman" w:eastAsia="Times New Roman" w:hAnsi="Times New Roman" w:cs="Times New Roman"/>
        </w:rPr>
        <w:t xml:space="preserve"> tailor-made partnerships. This framework grants Member States the flexibility to design bilateral agreements precisely calibrated to their domestic shortages. Ultimately, the EU aims to progressively substitute informal smuggling networks with transparent, state-led recruitment mechanisms. Should this implementation succeed, these institutional channels will selectively supply the European economy with its desired human capital.</w:t>
      </w:r>
    </w:p>
    <w:p w14:paraId="30BCAAA9" w14:textId="0A800039" w:rsidR="00AC2A63" w:rsidRPr="00EF4218" w:rsidRDefault="00D40C0A" w:rsidP="006110D5">
      <w:pPr>
        <w:pStyle w:val="Heading2"/>
        <w:spacing w:line="480" w:lineRule="auto"/>
        <w:rPr>
          <w:rFonts w:ascii="Times New Roman" w:eastAsia="Times New Roman" w:hAnsi="Times New Roman" w:cs="Times New Roman"/>
          <w:color w:val="000000"/>
          <w:sz w:val="24"/>
          <w:szCs w:val="24"/>
          <w:lang w:val="en-US"/>
        </w:rPr>
      </w:pPr>
      <w:bookmarkStart w:id="21" w:name="_Toc239090987"/>
      <w:r w:rsidRPr="00EF4218">
        <w:rPr>
          <w:rFonts w:ascii="Times New Roman" w:eastAsia="Times New Roman" w:hAnsi="Times New Roman" w:cs="Times New Roman"/>
          <w:b/>
          <w:bCs/>
          <w:color w:val="000000"/>
          <w:sz w:val="24"/>
          <w:szCs w:val="24"/>
        </w:rPr>
        <w:lastRenderedPageBreak/>
        <w:t>Guideline 6 as a Regulatory Catalyst</w:t>
      </w:r>
      <w:bookmarkEnd w:id="21"/>
    </w:p>
    <w:p w14:paraId="4F187C58" w14:textId="601AC294" w:rsidR="00D40C0A" w:rsidRPr="00EF4218" w:rsidRDefault="00D40C0A"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A comprehensive understanding of the New Pact's external dimension necessitates its organic integration into the broader framework of European economic governance. Council Decision (EU) 2024/3134 constitutes the central institutional text, establishing the employment policy guidelines for Member States. Specifically, Guideline 6, titled "Enhancing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supply and improving access to employment," transcends the conventional paradigm of exclusively activating the domestic population</w:t>
      </w:r>
      <w:r w:rsidR="00244490" w:rsidRPr="00EF4218">
        <w:rPr>
          <w:rFonts w:ascii="Times New Roman" w:eastAsia="Times New Roman" w:hAnsi="Times New Roman" w:cs="Times New Roman"/>
          <w:lang w:val="en-US"/>
        </w:rPr>
        <w:t>,</w:t>
      </w:r>
      <w:r w:rsidRPr="00EF4218">
        <w:rPr>
          <w:rFonts w:ascii="Times New Roman" w:eastAsia="Times New Roman" w:hAnsi="Times New Roman" w:cs="Times New Roman"/>
        </w:rPr>
        <w:t xml:space="preserve"> </w:t>
      </w:r>
      <w:r w:rsidR="00244490" w:rsidRPr="00EF4218">
        <w:rPr>
          <w:rFonts w:ascii="Times New Roman" w:eastAsia="Times New Roman" w:hAnsi="Times New Roman" w:cs="Times New Roman"/>
        </w:rPr>
        <w:t xml:space="preserve">now explicitly </w:t>
      </w:r>
      <w:proofErr w:type="spellStart"/>
      <w:r w:rsidR="00244490" w:rsidRPr="00EF4218">
        <w:rPr>
          <w:rFonts w:ascii="Times New Roman" w:eastAsia="Times New Roman" w:hAnsi="Times New Roman" w:cs="Times New Roman"/>
        </w:rPr>
        <w:t>recognising</w:t>
      </w:r>
      <w:proofErr w:type="spellEnd"/>
      <w:r w:rsidR="00244490"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exogenous mobility as a systemic prerequisite for European economic sustainability.</w:t>
      </w:r>
    </w:p>
    <w:p w14:paraId="3CE89AB4" w14:textId="625D2A45" w:rsidR="004D2417" w:rsidRPr="00EF4218" w:rsidRDefault="004D2417"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The Decision’s annex clearly articulates the premise that demographic aging and the demands of the dual transition (green and digital) have generated structural deficits that cannot be exclusively bridged by the domestic and EU’s workforce. The document states that "attracting talent and skills from non-EU countries through migration management [...] can also contribute to addressing skills and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shortages". This reference elevates economic migration from a mere contingency measure to a structural macroeconomic instrument, urging Member States to incorporate migratory inflows into their national developmental planning.</w:t>
      </w:r>
    </w:p>
    <w:p w14:paraId="732391E0" w14:textId="1434D3F0" w:rsidR="004D2417" w:rsidRPr="00EF4218" w:rsidRDefault="004D2417"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 xml:space="preserve">Guideline 6 does not restrict itself to general declarations, </w:t>
      </w:r>
      <w:r w:rsidRPr="00EF4218">
        <w:rPr>
          <w:rFonts w:ascii="Times New Roman" w:eastAsia="Times New Roman" w:hAnsi="Times New Roman" w:cs="Times New Roman"/>
        </w:rPr>
        <w:t>but rather</w:t>
      </w:r>
      <w:r w:rsidRPr="00EF4218">
        <w:rPr>
          <w:rFonts w:ascii="Times New Roman" w:eastAsia="Times New Roman" w:hAnsi="Times New Roman" w:cs="Times New Roman"/>
          <w:lang w:val="en-US"/>
        </w:rPr>
        <w:t xml:space="preserve"> proceeds with a targeted mapping of cutting-edge sectors structurally incapable of functioning without an influx of foreign human capital. It explicitly mentions Science, Technology, Engineering, and Mathematics (STEM) disciplines, healthcare, and construction- </w:t>
      </w:r>
      <w:r w:rsidRPr="00EF4218">
        <w:rPr>
          <w:rFonts w:ascii="Times New Roman" w:eastAsia="Times New Roman" w:hAnsi="Times New Roman" w:cs="Times New Roman"/>
        </w:rPr>
        <w:t>sectors that remain</w:t>
      </w:r>
      <w:r w:rsidRPr="00EF4218">
        <w:rPr>
          <w:rFonts w:ascii="Times New Roman" w:eastAsia="Times New Roman" w:hAnsi="Times New Roman" w:cs="Times New Roman"/>
          <w:lang w:val="en-US"/>
        </w:rPr>
        <w:t xml:space="preserve"> absolutely critical for executing infrastructure and energy upgrade projects. Consequently, the </w:t>
      </w:r>
      <w:r w:rsidRPr="00EF4218">
        <w:rPr>
          <w:rFonts w:ascii="Times New Roman" w:eastAsia="Times New Roman" w:hAnsi="Times New Roman" w:cs="Times New Roman"/>
          <w:lang w:val="el-GR"/>
        </w:rPr>
        <w:t>Ε</w:t>
      </w:r>
      <w:r w:rsidRPr="00EF4218">
        <w:rPr>
          <w:rFonts w:ascii="Times New Roman" w:eastAsia="Times New Roman" w:hAnsi="Times New Roman" w:cs="Times New Roman"/>
          <w:lang w:val="en-US"/>
        </w:rPr>
        <w:t xml:space="preserve">U acknowledges that "economic security" directly depends upon its capacity to attract skilled foreign personnel into these pivotal activities. </w:t>
      </w:r>
    </w:p>
    <w:p w14:paraId="6DD3B639" w14:textId="05DA11AC" w:rsidR="00CE44FA" w:rsidRPr="00EF4218" w:rsidRDefault="004D2417"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lastRenderedPageBreak/>
        <w:t xml:space="preserve">Finally, the Decision places significant emphasis on dismantling the administrative and technical barriers that impede the </w:t>
      </w:r>
      <w:proofErr w:type="spellStart"/>
      <w:r w:rsidRPr="00EF4218">
        <w:rPr>
          <w:rFonts w:ascii="Times New Roman" w:eastAsia="Times New Roman" w:hAnsi="Times New Roman" w:cs="Times New Roman"/>
          <w:lang w:val="en-US"/>
        </w:rPr>
        <w:t>utilisation</w:t>
      </w:r>
      <w:proofErr w:type="spellEnd"/>
      <w:r w:rsidRPr="00EF4218">
        <w:rPr>
          <w:rFonts w:ascii="Times New Roman" w:eastAsia="Times New Roman" w:hAnsi="Times New Roman" w:cs="Times New Roman"/>
          <w:lang w:val="en-US"/>
        </w:rPr>
        <w:t xml:space="preserve"> of migrant </w:t>
      </w:r>
      <w:r w:rsidRPr="00EF4218">
        <w:rPr>
          <w:rFonts w:ascii="Times New Roman" w:eastAsia="Times New Roman" w:hAnsi="Times New Roman" w:cs="Times New Roman"/>
        </w:rPr>
        <w:t>capital</w:t>
      </w:r>
      <w:r w:rsidRPr="00EF4218">
        <w:rPr>
          <w:rFonts w:ascii="Times New Roman" w:eastAsia="Times New Roman" w:hAnsi="Times New Roman" w:cs="Times New Roman"/>
          <w:lang w:val="en-US"/>
        </w:rPr>
        <w:t xml:space="preserve">. It calls upon Member States to enhance opportunities for </w:t>
      </w:r>
      <w:proofErr w:type="spellStart"/>
      <w:r w:rsidRPr="00EF4218">
        <w:rPr>
          <w:rFonts w:ascii="Times New Roman" w:eastAsia="Times New Roman" w:hAnsi="Times New Roman" w:cs="Times New Roman"/>
          <w:lang w:val="en-US"/>
        </w:rPr>
        <w:t>recognising</w:t>
      </w:r>
      <w:proofErr w:type="spellEnd"/>
      <w:r w:rsidRPr="00EF4218">
        <w:rPr>
          <w:rFonts w:ascii="Times New Roman" w:eastAsia="Times New Roman" w:hAnsi="Times New Roman" w:cs="Times New Roman"/>
          <w:lang w:val="en-US"/>
        </w:rPr>
        <w:t xml:space="preserve"> and validating skills acquired outside formal education or abroad, deploying classification tools such as ESCO. This provision aims to eradicate the phenomenon of brain waste. Should Member States fail to implement these validation mechanisms, highly qualified migrants will inevitably remain trapped in low-skilled positions. This severely impacts both their integration trajectory and overall productivity. </w:t>
      </w:r>
      <w:r w:rsidR="00E24142" w:rsidRPr="00EF4218">
        <w:rPr>
          <w:rFonts w:ascii="Times New Roman" w:eastAsia="Times New Roman" w:hAnsi="Times New Roman" w:cs="Times New Roman"/>
          <w:lang w:val="en-US"/>
        </w:rPr>
        <w:t xml:space="preserve">In conclusion, Guideline 6 delineates the broader strategic orientation that the EU Talent Pool is operationally designed to serve; this platform was </w:t>
      </w:r>
      <w:proofErr w:type="spellStart"/>
      <w:r w:rsidR="00E24142" w:rsidRPr="00EF4218">
        <w:rPr>
          <w:rFonts w:ascii="Times New Roman" w:eastAsia="Times New Roman" w:hAnsi="Times New Roman" w:cs="Times New Roman"/>
          <w:lang w:val="en-US"/>
        </w:rPr>
        <w:t>conceptualised</w:t>
      </w:r>
      <w:proofErr w:type="spellEnd"/>
      <w:r w:rsidR="00E24142" w:rsidRPr="00EF4218">
        <w:rPr>
          <w:rFonts w:ascii="Times New Roman" w:eastAsia="Times New Roman" w:hAnsi="Times New Roman" w:cs="Times New Roman"/>
          <w:lang w:val="en-US"/>
        </w:rPr>
        <w:t xml:space="preserve"> to render the skills of third-country nationals "visible" and immediately assessable by European employers.</w:t>
      </w:r>
    </w:p>
    <w:p w14:paraId="255D339D" w14:textId="66B836E0" w:rsidR="00AC2A63" w:rsidRPr="00EF4218" w:rsidRDefault="00000000" w:rsidP="006110D5">
      <w:pPr>
        <w:pStyle w:val="Heading2"/>
        <w:spacing w:line="480" w:lineRule="auto"/>
        <w:rPr>
          <w:rFonts w:ascii="Times New Roman" w:eastAsia="Times New Roman" w:hAnsi="Times New Roman" w:cs="Times New Roman"/>
          <w:b/>
          <w:bCs/>
          <w:color w:val="000000"/>
          <w:sz w:val="24"/>
          <w:szCs w:val="24"/>
          <w:lang w:val="en-US"/>
        </w:rPr>
      </w:pPr>
      <w:bookmarkStart w:id="22" w:name="_Toc239090988"/>
      <w:r w:rsidRPr="00EF4218">
        <w:rPr>
          <w:rFonts w:ascii="Times New Roman" w:eastAsia="Times New Roman" w:hAnsi="Times New Roman" w:cs="Times New Roman"/>
          <w:b/>
          <w:bCs/>
          <w:color w:val="000000"/>
          <w:sz w:val="24"/>
          <w:szCs w:val="24"/>
        </w:rPr>
        <w:t>EU</w:t>
      </w:r>
      <w:r w:rsidRPr="00EF4218">
        <w:rPr>
          <w:rFonts w:ascii="Times New Roman" w:eastAsia="Times New Roman" w:hAnsi="Times New Roman" w:cs="Times New Roman"/>
          <w:b/>
          <w:bCs/>
          <w:color w:val="000000"/>
          <w:sz w:val="24"/>
          <w:szCs w:val="24"/>
          <w:lang w:val="en-US"/>
        </w:rPr>
        <w:t xml:space="preserve"> </w:t>
      </w:r>
      <w:r w:rsidRPr="00EF4218">
        <w:rPr>
          <w:rFonts w:ascii="Times New Roman" w:eastAsia="Times New Roman" w:hAnsi="Times New Roman" w:cs="Times New Roman"/>
          <w:b/>
          <w:bCs/>
          <w:color w:val="000000"/>
          <w:sz w:val="24"/>
          <w:szCs w:val="24"/>
        </w:rPr>
        <w:t>Talent</w:t>
      </w:r>
      <w:r w:rsidRPr="00EF4218">
        <w:rPr>
          <w:rFonts w:ascii="Times New Roman" w:eastAsia="Times New Roman" w:hAnsi="Times New Roman" w:cs="Times New Roman"/>
          <w:b/>
          <w:bCs/>
          <w:color w:val="000000"/>
          <w:sz w:val="24"/>
          <w:szCs w:val="24"/>
          <w:lang w:val="en-US"/>
        </w:rPr>
        <w:t xml:space="preserve"> </w:t>
      </w:r>
      <w:r w:rsidRPr="00EF4218">
        <w:rPr>
          <w:rFonts w:ascii="Times New Roman" w:eastAsia="Times New Roman" w:hAnsi="Times New Roman" w:cs="Times New Roman"/>
          <w:b/>
          <w:bCs/>
          <w:color w:val="000000"/>
          <w:sz w:val="24"/>
          <w:szCs w:val="24"/>
        </w:rPr>
        <w:t>Pool</w:t>
      </w:r>
      <w:r w:rsidRPr="00EF4218">
        <w:rPr>
          <w:rFonts w:ascii="Times New Roman" w:eastAsia="Times New Roman" w:hAnsi="Times New Roman" w:cs="Times New Roman"/>
          <w:b/>
          <w:bCs/>
          <w:color w:val="000000"/>
          <w:sz w:val="24"/>
          <w:szCs w:val="24"/>
          <w:lang w:val="en-US"/>
        </w:rPr>
        <w:t xml:space="preserve">: </w:t>
      </w:r>
      <w:r w:rsidR="00696E84" w:rsidRPr="00EF4218">
        <w:rPr>
          <w:rFonts w:ascii="Times New Roman" w:eastAsia="Times New Roman" w:hAnsi="Times New Roman" w:cs="Times New Roman"/>
          <w:b/>
          <w:bCs/>
          <w:color w:val="000000"/>
          <w:sz w:val="24"/>
          <w:szCs w:val="24"/>
        </w:rPr>
        <w:t>Bridging Migration and Employment</w:t>
      </w:r>
      <w:bookmarkEnd w:id="22"/>
    </w:p>
    <w:p w14:paraId="01FF30F8" w14:textId="09903AD6" w:rsidR="00696E84" w:rsidRPr="00EF4218" w:rsidRDefault="00696E84"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The New Pact on Migration and Asylum establishes the legal framework, while Guideline 6 (Decision 2024/3134) dictates the economic and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necessity. Consequently, Regulation (EU) 2026/1047, establishing the "EU Talent Pool," operates as the operational arm. It structurally bridges public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policies (the European Employment Policy) with those of migration. It constitutes the inaugural pan-European platform for international recruitment.</w:t>
      </w:r>
    </w:p>
    <w:p w14:paraId="56290999" w14:textId="61D1D318" w:rsidR="00696E84" w:rsidRPr="00EF4218" w:rsidRDefault="00696E84"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According to the Explanatory Memorandum</w:t>
      </w:r>
      <w:r w:rsidR="00272083" w:rsidRPr="00272083">
        <w:rPr>
          <w:rFonts w:ascii="Times New Roman" w:eastAsia="Times New Roman" w:hAnsi="Times New Roman" w:cs="Times New Roman"/>
          <w:lang w:val="en-US"/>
        </w:rPr>
        <w:t xml:space="preserve"> (European Commission, 2023a; 2023b).</w:t>
      </w:r>
      <w:r w:rsidRPr="00EF4218">
        <w:rPr>
          <w:rFonts w:ascii="Times New Roman" w:eastAsia="Times New Roman" w:hAnsi="Times New Roman" w:cs="Times New Roman"/>
          <w:lang w:val="en-US"/>
        </w:rPr>
        <w:t xml:space="preserve">, the initiative addresses structural </w:t>
      </w:r>
      <w:proofErr w:type="spellStart"/>
      <w:r w:rsidRPr="00EF4218">
        <w:rPr>
          <w:rFonts w:ascii="Times New Roman" w:eastAsia="Times New Roman" w:hAnsi="Times New Roman" w:cs="Times New Roman"/>
          <w:lang w:val="en-US"/>
        </w:rPr>
        <w:t>labour</w:t>
      </w:r>
      <w:proofErr w:type="spellEnd"/>
      <w:r w:rsidRPr="00EF4218">
        <w:rPr>
          <w:rFonts w:ascii="Times New Roman" w:eastAsia="Times New Roman" w:hAnsi="Times New Roman" w:cs="Times New Roman"/>
          <w:lang w:val="en-US"/>
        </w:rPr>
        <w:t xml:space="preserve"> shortages and bureaucratic recruitment barriers. These vulnerabilities intensify under the pressure of demographic aging and the "twin transition" (Green and Digital). Seeking international supremacy in Web 4.0 and virtual worlds, the EU confronts an acute shortage of ICT specialists across 60% of its enterprises. Furthermore, institutional fragmentation of national tools, rigidities in qualification recognition, and the absence of a robust EU "brand" severely impede international recruitment efforts.</w:t>
      </w:r>
    </w:p>
    <w:p w14:paraId="2DF39A2F" w14:textId="7E495B29" w:rsidR="00696E84" w:rsidRPr="00EF4218" w:rsidRDefault="00696E84"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lastRenderedPageBreak/>
        <w:t xml:space="preserve">The EU Talent Pool operates in complementarity with EURES, providing a digital platform for the automated matching of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supply and demand. It exclusively targets non-EU third-country nationals and relies upon the voluntary participation (opt-in) of Member States (Article 3). Through "Talent Partnerships" (Article 12), the framework provides legal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pathways for third-country nationals (e.g., from North Africa)</w:t>
      </w:r>
      <w:r w:rsidR="00BF1D44" w:rsidRPr="00EF4218">
        <w:rPr>
          <w:rFonts w:ascii="Times New Roman" w:eastAsia="Times New Roman" w:hAnsi="Times New Roman" w:cs="Times New Roman"/>
        </w:rPr>
        <w:t>; i</w:t>
      </w:r>
      <w:r w:rsidRPr="00EF4218">
        <w:rPr>
          <w:rFonts w:ascii="Times New Roman" w:eastAsia="Times New Roman" w:hAnsi="Times New Roman" w:cs="Times New Roman"/>
        </w:rPr>
        <w:t xml:space="preserve">n exchange, these origin countries </w:t>
      </w:r>
      <w:r w:rsidR="00BF1D44" w:rsidRPr="00EF4218">
        <w:rPr>
          <w:rFonts w:ascii="Times New Roman" w:eastAsia="Times New Roman" w:hAnsi="Times New Roman" w:cs="Times New Roman"/>
        </w:rPr>
        <w:t xml:space="preserve">are expected to </w:t>
      </w:r>
      <w:r w:rsidRPr="00EF4218">
        <w:rPr>
          <w:rFonts w:ascii="Times New Roman" w:eastAsia="Times New Roman" w:hAnsi="Times New Roman" w:cs="Times New Roman"/>
        </w:rPr>
        <w:t>cooperate in containing irregular migration</w:t>
      </w:r>
      <w:r w:rsidRPr="00EF4218">
        <w:rPr>
          <w:rFonts w:ascii="Times New Roman" w:eastAsia="Times New Roman" w:hAnsi="Times New Roman" w:cs="Times New Roman"/>
          <w:lang w:val="en-US"/>
        </w:rPr>
        <w:t>.</w:t>
      </w:r>
    </w:p>
    <w:p w14:paraId="718D45CA" w14:textId="38EFFEFF" w:rsidR="00BF1D44" w:rsidRPr="00EF4218" w:rsidRDefault="00BF1D44"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The Regulation adopts </w:t>
      </w:r>
      <w:r w:rsidRPr="00AB3BFA">
        <w:rPr>
          <w:rFonts w:ascii="Times New Roman" w:eastAsia="Times New Roman" w:hAnsi="Times New Roman" w:cs="Times New Roman"/>
        </w:rPr>
        <w:t xml:space="preserve">a broad </w:t>
      </w:r>
      <w:proofErr w:type="spellStart"/>
      <w:r w:rsidRPr="00AB3BFA">
        <w:rPr>
          <w:rFonts w:ascii="Times New Roman" w:eastAsia="Times New Roman" w:hAnsi="Times New Roman" w:cs="Times New Roman"/>
        </w:rPr>
        <w:t>conceptualisation</w:t>
      </w:r>
      <w:proofErr w:type="spellEnd"/>
      <w:r w:rsidRPr="00EF4218">
        <w:rPr>
          <w:rFonts w:ascii="Times New Roman" w:eastAsia="Times New Roman" w:hAnsi="Times New Roman" w:cs="Times New Roman"/>
        </w:rPr>
        <w:t xml:space="preserve"> of "talent," incorporating 42 shortage occupations based on the ISCO-08 classification (Article 14 &amp; Annex):</w:t>
      </w:r>
    </w:p>
    <w:p w14:paraId="204FEF55" w14:textId="689E68A8" w:rsidR="00BF1D44" w:rsidRPr="00EF4218" w:rsidRDefault="00BF1D44" w:rsidP="006110D5">
      <w:pPr>
        <w:pStyle w:val="NormalWeb"/>
        <w:numPr>
          <w:ilvl w:val="0"/>
          <w:numId w:val="5"/>
        </w:numPr>
        <w:spacing w:before="0" w:beforeAutospacing="0" w:line="480" w:lineRule="auto"/>
      </w:pPr>
      <w:r w:rsidRPr="00EF4218">
        <w:rPr>
          <w:b/>
          <w:bCs/>
        </w:rPr>
        <w:t>High-Skilled</w:t>
      </w:r>
      <w:r w:rsidRPr="00EF4218">
        <w:t xml:space="preserve"> (20 Occupations): This tier encompasses medical practitioners, environmental engineers, and ICT/STEM </w:t>
      </w:r>
      <w:r w:rsidR="00246B37" w:rsidRPr="00EF4218">
        <w:t xml:space="preserve">professionals, whose </w:t>
      </w:r>
      <w:r w:rsidRPr="00EF4218">
        <w:t xml:space="preserve">recruitment remains critical for the EU to bridge the technological gap and advance the digital transition. </w:t>
      </w:r>
    </w:p>
    <w:p w14:paraId="359D4D52" w14:textId="26A91508" w:rsidR="00BF1D44" w:rsidRPr="00EF4218" w:rsidRDefault="00BF1D44" w:rsidP="006110D5">
      <w:pPr>
        <w:pStyle w:val="NormalWeb"/>
        <w:numPr>
          <w:ilvl w:val="0"/>
          <w:numId w:val="5"/>
        </w:numPr>
        <w:spacing w:before="0" w:beforeAutospacing="0" w:line="480" w:lineRule="auto"/>
      </w:pPr>
      <w:r w:rsidRPr="00EF4218">
        <w:rPr>
          <w:b/>
          <w:bCs/>
        </w:rPr>
        <w:t>Medium-Skilled</w:t>
      </w:r>
      <w:r w:rsidRPr="00EF4218">
        <w:t xml:space="preserve"> (21 Occupations): This category includes craftsmen essential for the green transition (electricians, plumbers, builders) and foundational service workers (cooks, waiters, drivers, </w:t>
      </w:r>
      <w:r w:rsidR="00246B37" w:rsidRPr="00EF4218">
        <w:t xml:space="preserve">and </w:t>
      </w:r>
      <w:r w:rsidRPr="00EF4218">
        <w:t xml:space="preserve">nurses). </w:t>
      </w:r>
    </w:p>
    <w:p w14:paraId="6EAC1A87" w14:textId="70EAC146" w:rsidR="00BF1D44" w:rsidRPr="00EF4218" w:rsidRDefault="00BF1D44" w:rsidP="006110D5">
      <w:pPr>
        <w:pStyle w:val="NormalWeb"/>
        <w:numPr>
          <w:ilvl w:val="0"/>
          <w:numId w:val="5"/>
        </w:numPr>
        <w:spacing w:before="0" w:beforeAutospacing="0" w:line="480" w:lineRule="auto"/>
      </w:pPr>
      <w:r w:rsidRPr="00EF4218">
        <w:rPr>
          <w:b/>
          <w:bCs/>
        </w:rPr>
        <w:t>Low-Skilled</w:t>
      </w:r>
      <w:r w:rsidRPr="00EF4218">
        <w:t xml:space="preserve"> (1 Occupation): This stratum is strictly confined to cleaners and helpers. </w:t>
      </w:r>
    </w:p>
    <w:p w14:paraId="41194391" w14:textId="5C499E0F" w:rsidR="00141B2E" w:rsidRPr="00EF4218" w:rsidRDefault="00141B2E"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 xml:space="preserve">Nevertheless, </w:t>
      </w:r>
      <w:r w:rsidRPr="00EF4218">
        <w:rPr>
          <w:rFonts w:ascii="Times New Roman" w:eastAsia="Times New Roman" w:hAnsi="Times New Roman" w:cs="Times New Roman"/>
        </w:rPr>
        <w:t xml:space="preserve">the bureaucratic and executive dimension of the regulation remains profoundly ambiguous. Successful digital matching by no means guarantees the issuance of </w:t>
      </w:r>
      <w:r w:rsidR="00730DC7" w:rsidRPr="00EF4218">
        <w:rPr>
          <w:rFonts w:ascii="Times New Roman" w:eastAsia="Times New Roman" w:hAnsi="Times New Roman" w:cs="Times New Roman"/>
          <w:lang w:val="en-US"/>
        </w:rPr>
        <w:t>v</w:t>
      </w:r>
      <w:r w:rsidRPr="00EF4218">
        <w:rPr>
          <w:rFonts w:ascii="Times New Roman" w:eastAsia="Times New Roman" w:hAnsi="Times New Roman" w:cs="Times New Roman"/>
        </w:rPr>
        <w:t>isa or a residence permit (Article 17). Consequently, the procedure risks encountering the "bottleneck" of consular dysfunctions and protracted verifications</w:t>
      </w:r>
      <w:r w:rsidR="00730DC7" w:rsidRPr="00EF4218">
        <w:rPr>
          <w:rFonts w:ascii="Times New Roman" w:eastAsia="Times New Roman" w:hAnsi="Times New Roman" w:cs="Times New Roman"/>
        </w:rPr>
        <w:t xml:space="preserve">, </w:t>
      </w:r>
      <w:r w:rsidR="0010069A" w:rsidRPr="00EF4218">
        <w:rPr>
          <w:rFonts w:ascii="Times New Roman" w:eastAsia="Times New Roman" w:hAnsi="Times New Roman" w:cs="Times New Roman"/>
        </w:rPr>
        <w:t>meaning employers</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will</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inevitably</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continue</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to</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face</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systemic</w:t>
      </w:r>
      <w:r w:rsidRPr="00EF4218">
        <w:rPr>
          <w:rFonts w:ascii="Times New Roman" w:eastAsia="Times New Roman" w:hAnsi="Times New Roman" w:cs="Times New Roman"/>
          <w:lang w:val="en-US"/>
        </w:rPr>
        <w:t xml:space="preserve"> </w:t>
      </w:r>
      <w:r w:rsidRPr="00EF4218">
        <w:rPr>
          <w:rFonts w:ascii="Times New Roman" w:eastAsia="Times New Roman" w:hAnsi="Times New Roman" w:cs="Times New Roman"/>
        </w:rPr>
        <w:t>delays</w:t>
      </w:r>
      <w:r w:rsidRPr="00EF4218">
        <w:rPr>
          <w:rFonts w:ascii="Times New Roman" w:eastAsia="Times New Roman" w:hAnsi="Times New Roman" w:cs="Times New Roman"/>
          <w:lang w:val="en-US"/>
        </w:rPr>
        <w:t>.</w:t>
      </w:r>
    </w:p>
    <w:p w14:paraId="33E6E084" w14:textId="0E0A653D" w:rsidR="0010069A" w:rsidRPr="00EF4218" w:rsidRDefault="0010069A"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The Union </w:t>
      </w:r>
      <w:r w:rsidRPr="00A25682">
        <w:rPr>
          <w:rFonts w:ascii="Times New Roman" w:eastAsia="Times New Roman" w:hAnsi="Times New Roman" w:cs="Times New Roman"/>
        </w:rPr>
        <w:t xml:space="preserve">de jure </w:t>
      </w:r>
      <w:r w:rsidRPr="00EF4218">
        <w:rPr>
          <w:rFonts w:ascii="Times New Roman" w:eastAsia="Times New Roman" w:hAnsi="Times New Roman" w:cs="Times New Roman"/>
        </w:rPr>
        <w:t xml:space="preserve">attempted to include secondary sector occupations necessitated by the European South (e.g., construction workers). However, this research postulates that the tool remains </w:t>
      </w:r>
      <w:r w:rsidRPr="002011ED">
        <w:rPr>
          <w:rFonts w:ascii="Times New Roman" w:eastAsia="Times New Roman" w:hAnsi="Times New Roman" w:cs="Times New Roman"/>
        </w:rPr>
        <w:t>de facto</w:t>
      </w:r>
      <w:r w:rsidRPr="00EF4218">
        <w:rPr>
          <w:rFonts w:ascii="Times New Roman" w:eastAsia="Times New Roman" w:hAnsi="Times New Roman" w:cs="Times New Roman"/>
        </w:rPr>
        <w:t xml:space="preserve"> </w:t>
      </w:r>
      <w:r w:rsidRPr="00EF4218">
        <w:rPr>
          <w:rFonts w:ascii="Times New Roman" w:eastAsia="Times New Roman" w:hAnsi="Times New Roman" w:cs="Times New Roman"/>
        </w:rPr>
        <w:lastRenderedPageBreak/>
        <w:t xml:space="preserve">elitist due to its digital architecture. Mandatory profile creation via </w:t>
      </w:r>
      <w:proofErr w:type="spellStart"/>
      <w:r w:rsidRPr="00EF4218">
        <w:rPr>
          <w:rFonts w:ascii="Times New Roman" w:eastAsia="Times New Roman" w:hAnsi="Times New Roman" w:cs="Times New Roman"/>
        </w:rPr>
        <w:t>Europass</w:t>
      </w:r>
      <w:proofErr w:type="spellEnd"/>
      <w:r w:rsidRPr="00EF4218">
        <w:rPr>
          <w:rFonts w:ascii="Times New Roman" w:eastAsia="Times New Roman" w:hAnsi="Times New Roman" w:cs="Times New Roman"/>
        </w:rPr>
        <w:t xml:space="preserve"> (Article 11), ESCO classification (Article 5), and algorithmic matching (Article 16) demand substantial </w:t>
      </w:r>
      <w:r w:rsidR="004D67D6" w:rsidRPr="00EF4218">
        <w:rPr>
          <w:rFonts w:ascii="Times New Roman" w:eastAsia="Times New Roman" w:hAnsi="Times New Roman" w:cs="Times New Roman"/>
        </w:rPr>
        <w:t>d</w:t>
      </w:r>
      <w:r w:rsidRPr="00EF4218">
        <w:rPr>
          <w:rFonts w:ascii="Times New Roman" w:eastAsia="Times New Roman" w:hAnsi="Times New Roman" w:cs="Times New Roman"/>
        </w:rPr>
        <w:t xml:space="preserve">igital and </w:t>
      </w:r>
      <w:r w:rsidR="004D67D6" w:rsidRPr="00EF4218">
        <w:rPr>
          <w:rFonts w:ascii="Times New Roman" w:eastAsia="Times New Roman" w:hAnsi="Times New Roman" w:cs="Times New Roman"/>
        </w:rPr>
        <w:t>c</w:t>
      </w:r>
      <w:r w:rsidRPr="00EF4218">
        <w:rPr>
          <w:rFonts w:ascii="Times New Roman" w:eastAsia="Times New Roman" w:hAnsi="Times New Roman" w:cs="Times New Roman"/>
        </w:rPr>
        <w:t xml:space="preserve">ultural Capital, as </w:t>
      </w:r>
      <w:proofErr w:type="spellStart"/>
      <w:r w:rsidRPr="00EF4218">
        <w:rPr>
          <w:rFonts w:ascii="Times New Roman" w:eastAsia="Times New Roman" w:hAnsi="Times New Roman" w:cs="Times New Roman"/>
        </w:rPr>
        <w:t>conceptualised</w:t>
      </w:r>
      <w:proofErr w:type="spellEnd"/>
      <w:r w:rsidRPr="00EF4218">
        <w:rPr>
          <w:rFonts w:ascii="Times New Roman" w:eastAsia="Times New Roman" w:hAnsi="Times New Roman" w:cs="Times New Roman"/>
        </w:rPr>
        <w:t xml:space="preserve"> by Pierre Bourdieu. For highly skilled professionals within the primary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this procedure constitutes an organic </w:t>
      </w:r>
      <w:r w:rsidRPr="00EF4218">
        <w:rPr>
          <w:rFonts w:ascii="Times New Roman" w:eastAsia="Times New Roman" w:hAnsi="Times New Roman" w:cs="Times New Roman"/>
          <w:i/>
          <w:iCs/>
        </w:rPr>
        <w:t>habitus</w:t>
      </w:r>
      <w:r w:rsidRPr="00EF4218">
        <w:rPr>
          <w:rFonts w:ascii="Times New Roman" w:eastAsia="Times New Roman" w:hAnsi="Times New Roman" w:cs="Times New Roman"/>
        </w:rPr>
        <w:t>. Conversely, it operates as a structural filter</w:t>
      </w:r>
      <w:r w:rsidR="0081251D" w:rsidRPr="00EF4218">
        <w:rPr>
          <w:rFonts w:ascii="Times New Roman" w:eastAsia="Times New Roman" w:hAnsi="Times New Roman" w:cs="Times New Roman"/>
        </w:rPr>
        <w:t xml:space="preserve"> -</w:t>
      </w:r>
      <w:r w:rsidRPr="00EF4218">
        <w:rPr>
          <w:rFonts w:ascii="Times New Roman" w:eastAsia="Times New Roman" w:hAnsi="Times New Roman" w:cs="Times New Roman"/>
        </w:rPr>
        <w:t xml:space="preserve">exacerbating the </w:t>
      </w:r>
      <w:r w:rsidR="004D67D6" w:rsidRPr="00EF4218">
        <w:rPr>
          <w:rFonts w:ascii="Times New Roman" w:eastAsia="Times New Roman" w:hAnsi="Times New Roman" w:cs="Times New Roman"/>
        </w:rPr>
        <w:t>d</w:t>
      </w:r>
      <w:r w:rsidRPr="00EF4218">
        <w:rPr>
          <w:rFonts w:ascii="Times New Roman" w:eastAsia="Times New Roman" w:hAnsi="Times New Roman" w:cs="Times New Roman"/>
        </w:rPr>
        <w:t xml:space="preserve">igital </w:t>
      </w:r>
      <w:r w:rsidR="004D67D6" w:rsidRPr="00EF4218">
        <w:rPr>
          <w:rFonts w:ascii="Times New Roman" w:eastAsia="Times New Roman" w:hAnsi="Times New Roman" w:cs="Times New Roman"/>
        </w:rPr>
        <w:t>d</w:t>
      </w:r>
      <w:r w:rsidRPr="00EF4218">
        <w:rPr>
          <w:rFonts w:ascii="Times New Roman" w:eastAsia="Times New Roman" w:hAnsi="Times New Roman" w:cs="Times New Roman"/>
        </w:rPr>
        <w:t>ivide</w:t>
      </w:r>
      <w:r w:rsidR="0081251D" w:rsidRPr="00EF4218">
        <w:rPr>
          <w:rFonts w:ascii="Times New Roman" w:eastAsia="Times New Roman" w:hAnsi="Times New Roman" w:cs="Times New Roman"/>
        </w:rPr>
        <w:t xml:space="preserve">- </w:t>
      </w:r>
      <w:r w:rsidRPr="00EF4218">
        <w:rPr>
          <w:rFonts w:ascii="Times New Roman" w:eastAsia="Times New Roman" w:hAnsi="Times New Roman" w:cs="Times New Roman"/>
        </w:rPr>
        <w:t>for the unskilled migrant workforce. Simultaneously, domestic small and medium-sized enterprises (SMEs) inherently lack a robust digital recruitment culture.</w:t>
      </w:r>
    </w:p>
    <w:p w14:paraId="72C049B3" w14:textId="3F39D0E4" w:rsidR="00AC2A63" w:rsidRPr="00EF4218" w:rsidRDefault="00237303"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lang w:val="en-US"/>
        </w:rPr>
        <w:t xml:space="preserve">Ultimately, authorities designed the EU Talent Pool primarily for the "knowledge-intensive" economies of Central and Northern Europe. Despite the de jure inclusion of specific technical professions (e.g., builders/craftsmen), the Annex completely excludes the primary sector (e.g., agricultural workers). Combined with the platform's rigorous digital architecture, this exclusion renders the tool de facto inadequate for addressing the massive demand for manual </w:t>
      </w:r>
      <w:proofErr w:type="spellStart"/>
      <w:r w:rsidRPr="00EF4218">
        <w:rPr>
          <w:rFonts w:ascii="Times New Roman" w:eastAsia="Times New Roman" w:hAnsi="Times New Roman" w:cs="Times New Roman"/>
          <w:lang w:val="en-US"/>
        </w:rPr>
        <w:t>labour</w:t>
      </w:r>
      <w:proofErr w:type="spellEnd"/>
      <w:r w:rsidRPr="00EF4218">
        <w:rPr>
          <w:rFonts w:ascii="Times New Roman" w:eastAsia="Times New Roman" w:hAnsi="Times New Roman" w:cs="Times New Roman"/>
          <w:lang w:val="en-US"/>
        </w:rPr>
        <w:t xml:space="preserve"> in Greece. Within this national context, unemployment steadily declines while the Job Vacancy Rate (JVR) in construction and tourism persists at historically high levels. Should this supranational architecture remain unaltered, Southern European countries </w:t>
      </w:r>
      <w:r w:rsidR="002011ED">
        <w:rPr>
          <w:rFonts w:ascii="Times New Roman" w:eastAsia="Times New Roman" w:hAnsi="Times New Roman" w:cs="Times New Roman"/>
          <w:lang w:val="en-US"/>
        </w:rPr>
        <w:t>may</w:t>
      </w:r>
      <w:r w:rsidRPr="00EF4218">
        <w:rPr>
          <w:rFonts w:ascii="Times New Roman" w:eastAsia="Times New Roman" w:hAnsi="Times New Roman" w:cs="Times New Roman"/>
          <w:lang w:val="en-US"/>
        </w:rPr>
        <w:t xml:space="preserve"> remain inexorably trapped in fragmented </w:t>
      </w:r>
      <w:proofErr w:type="spellStart"/>
      <w:r w:rsidRPr="00EF4218">
        <w:rPr>
          <w:rFonts w:ascii="Times New Roman" w:eastAsia="Times New Roman" w:hAnsi="Times New Roman" w:cs="Times New Roman"/>
          <w:lang w:val="en-US"/>
        </w:rPr>
        <w:t>labour</w:t>
      </w:r>
      <w:proofErr w:type="spellEnd"/>
      <w:r w:rsidRPr="00EF4218">
        <w:rPr>
          <w:rFonts w:ascii="Times New Roman" w:eastAsia="Times New Roman" w:hAnsi="Times New Roman" w:cs="Times New Roman"/>
          <w:lang w:val="en-US"/>
        </w:rPr>
        <w:t xml:space="preserve"> schemes.</w:t>
      </w:r>
    </w:p>
    <w:p w14:paraId="55D83E3B" w14:textId="77777777" w:rsidR="00AC2A63" w:rsidRPr="00EF4218" w:rsidRDefault="00000000" w:rsidP="006110D5">
      <w:pPr>
        <w:pStyle w:val="Heading1"/>
        <w:spacing w:line="480" w:lineRule="auto"/>
        <w:jc w:val="center"/>
        <w:rPr>
          <w:rFonts w:ascii="Times New Roman" w:eastAsia="Times New Roman" w:hAnsi="Times New Roman" w:cs="Times New Roman"/>
          <w:b/>
          <w:bCs/>
          <w:color w:val="000000"/>
          <w:sz w:val="24"/>
          <w:szCs w:val="24"/>
        </w:rPr>
      </w:pPr>
      <w:bookmarkStart w:id="23" w:name="_Toc239090989"/>
      <w:r w:rsidRPr="00EF4218">
        <w:rPr>
          <w:rFonts w:ascii="Times New Roman" w:eastAsia="Times New Roman" w:hAnsi="Times New Roman" w:cs="Times New Roman"/>
          <w:b/>
          <w:bCs/>
          <w:color w:val="000000"/>
          <w:sz w:val="24"/>
          <w:szCs w:val="24"/>
        </w:rPr>
        <w:t>Chapter 5. Conclusions and Policy Proposals</w:t>
      </w:r>
      <w:bookmarkEnd w:id="23"/>
    </w:p>
    <w:p w14:paraId="63D82DFB"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This study confirms its initial hypothesis: a structural mismatch exists between European planning for attracting highly skilled workers and the actual requirements of the Greek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w:t>
      </w:r>
      <w:proofErr w:type="spellStart"/>
      <w:r w:rsidRPr="00EF4218">
        <w:rPr>
          <w:rFonts w:ascii="Times New Roman" w:eastAsia="Times New Roman" w:hAnsi="Times New Roman" w:cs="Times New Roman"/>
        </w:rPr>
        <w:t>Synthesising</w:t>
      </w:r>
      <w:proofErr w:type="spellEnd"/>
      <w:r w:rsidRPr="00EF4218">
        <w:rPr>
          <w:rFonts w:ascii="Times New Roman" w:eastAsia="Times New Roman" w:hAnsi="Times New Roman" w:cs="Times New Roman"/>
        </w:rPr>
        <w:t xml:space="preserve"> institutional analysis with empirical data yields the following central conclusions:</w:t>
      </w:r>
    </w:p>
    <w:p w14:paraId="7768DA23"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Firstly, regarding the nature of demand, the Greek productive paradigm remains firmly oriented towards </w:t>
      </w:r>
      <w:proofErr w:type="spellStart"/>
      <w:r w:rsidRPr="00EF4218">
        <w:rPr>
          <w:rFonts w:ascii="Times New Roman" w:eastAsia="Times New Roman" w:hAnsi="Times New Roman" w:cs="Times New Roman"/>
        </w:rPr>
        <w:t>labour-intensive</w:t>
      </w:r>
      <w:proofErr w:type="spellEnd"/>
      <w:r w:rsidRPr="00EF4218">
        <w:rPr>
          <w:rFonts w:ascii="Times New Roman" w:eastAsia="Times New Roman" w:hAnsi="Times New Roman" w:cs="Times New Roman"/>
        </w:rPr>
        <w:t xml:space="preserve"> sectors. As the data indicate, demand does not primarily target the </w:t>
      </w:r>
      <w:r w:rsidRPr="00EF4218">
        <w:rPr>
          <w:rFonts w:ascii="Times New Roman" w:eastAsia="Times New Roman" w:hAnsi="Times New Roman" w:cs="Times New Roman"/>
        </w:rPr>
        <w:lastRenderedPageBreak/>
        <w:t xml:space="preserve">cutting-edge technologies of the Fourth Industrial Revolution; instead, it necessitates unskilled or semi-skilled human capital for agriculture, tourism, and construction. This reality confirms </w:t>
      </w:r>
      <w:proofErr w:type="spellStart"/>
      <w:r w:rsidRPr="00EF4218">
        <w:rPr>
          <w:rFonts w:ascii="Times New Roman" w:eastAsia="Times New Roman" w:hAnsi="Times New Roman" w:cs="Times New Roman"/>
        </w:rPr>
        <w:t>Piore’s</w:t>
      </w:r>
      <w:proofErr w:type="spellEnd"/>
      <w:r w:rsidRPr="00EF4218">
        <w:rPr>
          <w:rFonts w:ascii="Times New Roman" w:eastAsia="Times New Roman" w:hAnsi="Times New Roman" w:cs="Times New Roman"/>
        </w:rPr>
        <w:t xml:space="preserve"> dual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market theory, whereby migrants are recruited to fill the structural voids of the secondary sector.</w:t>
      </w:r>
    </w:p>
    <w:p w14:paraId="0C855665" w14:textId="23179F9E"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Secondly, the analysis establishes the institutional incompatibility of the EU Talent Pool. Although Regulation (EU) 2026/1047 de jure includes certain low-skilled occupations, the instrument remains de facto elitist. Its digital architecture presupposes substantial cultural and digital capital, effectively operating as an exclusionary mechanism (digital divide) for the average migrant worker. Interpretively, the EU appears to design policies tailored predominantly to the knowledge economies of the North. </w:t>
      </w:r>
      <w:r w:rsidR="00E01E19" w:rsidRPr="00EF4218">
        <w:rPr>
          <w:rFonts w:ascii="Times New Roman" w:eastAsia="Times New Roman" w:hAnsi="Times New Roman" w:cs="Times New Roman"/>
        </w:rPr>
        <w:t xml:space="preserve">Indicatively, while 55,107 third-country nationals sustain Greek agriculture, the European Talent Pool completely excludes them. </w:t>
      </w:r>
      <w:r w:rsidRPr="00EF4218">
        <w:rPr>
          <w:rFonts w:ascii="Times New Roman" w:eastAsia="Times New Roman" w:hAnsi="Times New Roman" w:cs="Times New Roman"/>
        </w:rPr>
        <w:t xml:space="preserve">Consequently, fulfilling Greek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needs will largely continue to rely on cumbersome national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w:t>
      </w:r>
      <w:r w:rsidR="00F02A95" w:rsidRPr="00F02A95">
        <w:rPr>
          <w:rFonts w:ascii="Times New Roman" w:eastAsia="Times New Roman" w:hAnsi="Times New Roman" w:cs="Times New Roman"/>
          <w:lang w:val="en-US"/>
        </w:rPr>
        <w:t xml:space="preserve">, </w:t>
      </w:r>
      <w:r w:rsidR="00F02A95" w:rsidRPr="00F02A95">
        <w:rPr>
          <w:rFonts w:ascii="Times New Roman" w:eastAsia="Times New Roman" w:hAnsi="Times New Roman" w:cs="Times New Roman"/>
        </w:rPr>
        <w:t>meaning that the unmet demand ultimately fuels informal employment and precarity</w:t>
      </w:r>
      <w:r w:rsidRPr="00EF4218">
        <w:rPr>
          <w:rFonts w:ascii="Times New Roman" w:eastAsia="Times New Roman" w:hAnsi="Times New Roman" w:cs="Times New Roman"/>
        </w:rPr>
        <w:t>.</w:t>
      </w:r>
    </w:p>
    <w:p w14:paraId="725026E5" w14:textId="5287D834" w:rsidR="00AC2A63" w:rsidRPr="000B6735" w:rsidRDefault="00000000" w:rsidP="006110D5">
      <w:pPr>
        <w:spacing w:line="480" w:lineRule="auto"/>
        <w:jc w:val="both"/>
        <w:rPr>
          <w:rFonts w:ascii="Times New Roman" w:eastAsia="Times New Roman" w:hAnsi="Times New Roman" w:cs="Times New Roman"/>
          <w:lang w:val="en-US"/>
        </w:rPr>
      </w:pPr>
      <w:r w:rsidRPr="00EF4218">
        <w:rPr>
          <w:rFonts w:ascii="Times New Roman" w:eastAsia="Times New Roman" w:hAnsi="Times New Roman" w:cs="Times New Roman"/>
        </w:rPr>
        <w:t xml:space="preserve">Thirdly, a stark paradox emerges: Greece operates simultaneously as an exporter of </w:t>
      </w:r>
      <w:proofErr w:type="spellStart"/>
      <w:r w:rsidRPr="00EF4218">
        <w:rPr>
          <w:rFonts w:ascii="Times New Roman" w:eastAsia="Times New Roman" w:hAnsi="Times New Roman" w:cs="Times New Roman"/>
        </w:rPr>
        <w:t>specialised</w:t>
      </w:r>
      <w:proofErr w:type="spellEnd"/>
      <w:r w:rsidRPr="00EF4218">
        <w:rPr>
          <w:rFonts w:ascii="Times New Roman" w:eastAsia="Times New Roman" w:hAnsi="Times New Roman" w:cs="Times New Roman"/>
        </w:rPr>
        <w:t xml:space="preserve"> scientific personnel and an importer of unskilled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From this perspective, the European policy of attracting foreign talent proves to be of secondary importance for the country. Instead, the paramount priority remains the repatriation of domestic human capital (brain gain).</w:t>
      </w:r>
      <w:r w:rsidR="000B6735" w:rsidRPr="000B6735">
        <w:rPr>
          <w:rFonts w:ascii="Times New Roman" w:eastAsia="Times New Roman" w:hAnsi="Times New Roman" w:cs="Times New Roman"/>
          <w:lang w:val="en-US"/>
        </w:rPr>
        <w:t xml:space="preserve"> </w:t>
      </w:r>
    </w:p>
    <w:p w14:paraId="07F126F7"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Drawing upon the aforementioned research conclusions, targeted interventions can be formulated to facilitate both the entry procedures for third-country nationals and the repatriation of Greek citizens.</w:t>
      </w:r>
    </w:p>
    <w:p w14:paraId="49708A4D" w14:textId="5CCB033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1. Administrative </w:t>
      </w:r>
      <w:proofErr w:type="spellStart"/>
      <w:r w:rsidRPr="00EF4218">
        <w:rPr>
          <w:rFonts w:ascii="Times New Roman" w:eastAsia="Times New Roman" w:hAnsi="Times New Roman" w:cs="Times New Roman"/>
        </w:rPr>
        <w:t>Rationalisation</w:t>
      </w:r>
      <w:proofErr w:type="spellEnd"/>
      <w:r w:rsidRPr="00EF4218">
        <w:rPr>
          <w:rFonts w:ascii="Times New Roman" w:eastAsia="Times New Roman" w:hAnsi="Times New Roman" w:cs="Times New Roman"/>
        </w:rPr>
        <w:t xml:space="preserve">: The research identifies the implementation gap within the legislative framework as the most critical bottleneck. To expedite service delivery, Consular </w:t>
      </w:r>
      <w:r w:rsidRPr="00EF4218">
        <w:rPr>
          <w:rFonts w:ascii="Times New Roman" w:eastAsia="Times New Roman" w:hAnsi="Times New Roman" w:cs="Times New Roman"/>
        </w:rPr>
        <w:lastRenderedPageBreak/>
        <w:t xml:space="preserve">Authorities should establish electronic visa procedures (E-Visa). However, this solution alone proves insufficient. The Greek economy depends primarily on low-skilled migrant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a demographic frequently lacking the requisite digital capital to navigate electronic platforms autonomously</w:t>
      </w:r>
      <w:r w:rsidR="00F02A95">
        <w:rPr>
          <w:b/>
          <w:bCs/>
          <w:lang w:val="en-US"/>
        </w:rPr>
        <w:t xml:space="preserve">; </w:t>
      </w:r>
      <w:r w:rsidR="00F02A95" w:rsidRPr="00F02A95">
        <w:rPr>
          <w:rFonts w:ascii="Times New Roman" w:eastAsia="Times New Roman" w:hAnsi="Times New Roman" w:cs="Times New Roman"/>
        </w:rPr>
        <w:t xml:space="preserve">thus, </w:t>
      </w:r>
      <w:proofErr w:type="spellStart"/>
      <w:r w:rsidR="00F02A95" w:rsidRPr="00F02A95">
        <w:rPr>
          <w:rFonts w:ascii="Times New Roman" w:eastAsia="Times New Roman" w:hAnsi="Times New Roman" w:cs="Times New Roman"/>
        </w:rPr>
        <w:t>digitisation</w:t>
      </w:r>
      <w:proofErr w:type="spellEnd"/>
      <w:r w:rsidR="00F02A95" w:rsidRPr="00F02A95">
        <w:rPr>
          <w:rFonts w:ascii="Times New Roman" w:eastAsia="Times New Roman" w:hAnsi="Times New Roman" w:cs="Times New Roman"/>
        </w:rPr>
        <w:t xml:space="preserve"> alone risks engendering a new Digital Divide.</w:t>
      </w:r>
      <w:r w:rsidRPr="00F02A95">
        <w:rPr>
          <w:rFonts w:ascii="Times New Roman" w:eastAsia="Times New Roman" w:hAnsi="Times New Roman" w:cs="Times New Roman"/>
        </w:rPr>
        <w:t xml:space="preserve"> </w:t>
      </w:r>
      <w:r w:rsidRPr="00EF4218">
        <w:rPr>
          <w:rFonts w:ascii="Times New Roman" w:eastAsia="Times New Roman" w:hAnsi="Times New Roman" w:cs="Times New Roman"/>
        </w:rPr>
        <w:t xml:space="preserve">Consequently, enhancing the efficacy of temporary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schemes and reducing processing times necessitates comprehensive administrative </w:t>
      </w:r>
      <w:proofErr w:type="spellStart"/>
      <w:r w:rsidRPr="00EF4218">
        <w:rPr>
          <w:rFonts w:ascii="Times New Roman" w:eastAsia="Times New Roman" w:hAnsi="Times New Roman" w:cs="Times New Roman"/>
        </w:rPr>
        <w:t>reorganisation</w:t>
      </w:r>
      <w:proofErr w:type="spellEnd"/>
      <w:r w:rsidRPr="00EF4218">
        <w:rPr>
          <w:rFonts w:ascii="Times New Roman" w:eastAsia="Times New Roman" w:hAnsi="Times New Roman" w:cs="Times New Roman"/>
        </w:rPr>
        <w:t xml:space="preserve"> and the automation of consular procedures.</w:t>
      </w:r>
    </w:p>
    <w:p w14:paraId="7D768B21" w14:textId="3BD6066E"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2. Redefining Talent Partnerships: European strategic objectives must shift from exclusively pursuing high academic </w:t>
      </w:r>
      <w:proofErr w:type="spellStart"/>
      <w:r w:rsidRPr="00EF4218">
        <w:rPr>
          <w:rFonts w:ascii="Times New Roman" w:eastAsia="Times New Roman" w:hAnsi="Times New Roman" w:cs="Times New Roman"/>
        </w:rPr>
        <w:t>specialisation</w:t>
      </w:r>
      <w:proofErr w:type="spellEnd"/>
      <w:r w:rsidRPr="00EF4218">
        <w:rPr>
          <w:rFonts w:ascii="Times New Roman" w:eastAsia="Times New Roman" w:hAnsi="Times New Roman" w:cs="Times New Roman"/>
        </w:rPr>
        <w:t xml:space="preserve"> towards bolstering medium-level vocational education and training (VET). Specifically, to address the acute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shortages in Southern European member states like Greece and Cyprus, this study proposes </w:t>
      </w:r>
      <w:proofErr w:type="spellStart"/>
      <w:r w:rsidRPr="00EF4218">
        <w:rPr>
          <w:rFonts w:ascii="Times New Roman" w:eastAsia="Times New Roman" w:hAnsi="Times New Roman" w:cs="Times New Roman"/>
        </w:rPr>
        <w:t>institutionalising</w:t>
      </w:r>
      <w:proofErr w:type="spellEnd"/>
      <w:r w:rsidRPr="00EF4218">
        <w:rPr>
          <w:rFonts w:ascii="Times New Roman" w:eastAsia="Times New Roman" w:hAnsi="Times New Roman" w:cs="Times New Roman"/>
        </w:rPr>
        <w:t xml:space="preserve"> Skills Mobility Schemes. This recommendation aligns seamlessly with the policy directives of the </w:t>
      </w:r>
      <w:proofErr w:type="spellStart"/>
      <w:r w:rsidRPr="00EF4218">
        <w:rPr>
          <w:rFonts w:ascii="Times New Roman" w:eastAsia="Times New Roman" w:hAnsi="Times New Roman" w:cs="Times New Roman"/>
        </w:rPr>
        <w:t>MedMA</w:t>
      </w:r>
      <w:proofErr w:type="spellEnd"/>
      <w:r w:rsidRPr="00EF4218">
        <w:rPr>
          <w:rFonts w:ascii="Times New Roman" w:eastAsia="Times New Roman" w:hAnsi="Times New Roman" w:cs="Times New Roman"/>
        </w:rPr>
        <w:t xml:space="preserve"> framework (</w:t>
      </w:r>
      <w:proofErr w:type="spellStart"/>
      <w:r w:rsidRPr="00EF4218">
        <w:rPr>
          <w:rFonts w:ascii="Times New Roman" w:eastAsia="Times New Roman" w:hAnsi="Times New Roman" w:cs="Times New Roman"/>
        </w:rPr>
        <w:t>Fabbe</w:t>
      </w:r>
      <w:proofErr w:type="spellEnd"/>
      <w:r w:rsidRPr="00EF4218">
        <w:rPr>
          <w:rFonts w:ascii="Times New Roman" w:eastAsia="Times New Roman" w:hAnsi="Times New Roman" w:cs="Times New Roman"/>
        </w:rPr>
        <w:t xml:space="preserve"> et al., 2025). These schemes would link legal entry with the prerequisite acquisition of targeted technical certifications (e.g., in agrotechnology and the operation of modern agricultural systems). Such an approach facilitates the upgrading of the primary sector from unskilled to technically skilled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effectively converging with the underlying ethos of the EU Talent Pool. A realistic implementation paradigm involves forging tripartite mobility agreements among Greece, Cyprus, and Egypt, nations sharing common agricultural challenges. This strategy ensures mutual developmental benefits by establishing transnational training for the agricultural workforce while pragmatically </w:t>
      </w:r>
      <w:proofErr w:type="spellStart"/>
      <w:r w:rsidRPr="00EF4218">
        <w:rPr>
          <w:rFonts w:ascii="Times New Roman" w:eastAsia="Times New Roman" w:hAnsi="Times New Roman" w:cs="Times New Roman"/>
        </w:rPr>
        <w:t>utilising</w:t>
      </w:r>
      <w:proofErr w:type="spellEnd"/>
      <w:r w:rsidRPr="00EF4218">
        <w:rPr>
          <w:rFonts w:ascii="Times New Roman" w:eastAsia="Times New Roman" w:hAnsi="Times New Roman" w:cs="Times New Roman"/>
        </w:rPr>
        <w:t xml:space="preserve"> the EU Talent Pool platform.</w:t>
      </w:r>
    </w:p>
    <w:p w14:paraId="47C4650D"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3. Active Role of DYPA in Countries of Origin: This study recommends deploying Employment Counsellors from the Public Employment Service (DYPA) to Greek consular authorities in countries of strategic interest. Conducting on-site skills assessments will establish a reliable, state-</w:t>
      </w:r>
      <w:r w:rsidRPr="00EF4218">
        <w:rPr>
          <w:rFonts w:ascii="Times New Roman" w:eastAsia="Times New Roman" w:hAnsi="Times New Roman" w:cs="Times New Roman"/>
        </w:rPr>
        <w:lastRenderedPageBreak/>
        <w:t>managed pool of prospective workers, thereby substituting informal intermediary networks and bridging the digital divide for applicants.</w:t>
      </w:r>
    </w:p>
    <w:p w14:paraId="54658B7F"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4. Repatriation Strategy (brain gain): The outflow of </w:t>
      </w:r>
      <w:proofErr w:type="spellStart"/>
      <w:r w:rsidRPr="00EF4218">
        <w:rPr>
          <w:rFonts w:ascii="Times New Roman" w:eastAsia="Times New Roman" w:hAnsi="Times New Roman" w:cs="Times New Roman"/>
        </w:rPr>
        <w:t>specialised</w:t>
      </w:r>
      <w:proofErr w:type="spellEnd"/>
      <w:r w:rsidRPr="00EF4218">
        <w:rPr>
          <w:rFonts w:ascii="Times New Roman" w:eastAsia="Times New Roman" w:hAnsi="Times New Roman" w:cs="Times New Roman"/>
        </w:rPr>
        <w:t xml:space="preserve"> domestic human capital (brain drain) constitutes a "double fiscal loss" for the Greek economy, entailing the immediate forfeiture of both state educational investments and future tax revenues. Acknowledging the critical role of human capital in economic growth, Greece must develop an autonomous strategy focused on its diaspora. Transforming the </w:t>
      </w:r>
      <w:proofErr w:type="spellStart"/>
      <w:r w:rsidRPr="00EF4218">
        <w:rPr>
          <w:rFonts w:ascii="Times New Roman" w:eastAsia="Times New Roman" w:hAnsi="Times New Roman" w:cs="Times New Roman"/>
        </w:rPr>
        <w:t>Rebrain</w:t>
      </w:r>
      <w:proofErr w:type="spellEnd"/>
      <w:r w:rsidRPr="00EF4218">
        <w:rPr>
          <w:rFonts w:ascii="Times New Roman" w:eastAsia="Times New Roman" w:hAnsi="Times New Roman" w:cs="Times New Roman"/>
        </w:rPr>
        <w:t xml:space="preserve"> Greece initiative into a permanent institutional platform that provides comprehensive incentives (tax, housing, and family benefits) for the repatriation of Greek scientists is imperative. This strategic focus directly addresses the national paradox of simultaneously exporting highly skilled personnel while importing unskilled </w:t>
      </w:r>
      <w:proofErr w:type="spellStart"/>
      <w:r w:rsidRPr="00EF4218">
        <w:rPr>
          <w:rFonts w:ascii="Times New Roman" w:eastAsia="Times New Roman" w:hAnsi="Times New Roman" w:cs="Times New Roman"/>
        </w:rPr>
        <w:t>labour</w:t>
      </w:r>
      <w:proofErr w:type="spellEnd"/>
      <w:r w:rsidRPr="00EF4218">
        <w:rPr>
          <w:rFonts w:ascii="Times New Roman" w:eastAsia="Times New Roman" w:hAnsi="Times New Roman" w:cs="Times New Roman"/>
        </w:rPr>
        <w:t xml:space="preserve">. </w:t>
      </w:r>
    </w:p>
    <w:p w14:paraId="56A576EE"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Furthermore, as </w:t>
      </w:r>
      <w:proofErr w:type="spellStart"/>
      <w:r w:rsidRPr="00EF4218">
        <w:rPr>
          <w:rFonts w:ascii="Times New Roman" w:eastAsia="Times New Roman" w:hAnsi="Times New Roman" w:cs="Times New Roman"/>
        </w:rPr>
        <w:t>emphasised</w:t>
      </w:r>
      <w:proofErr w:type="spellEnd"/>
      <w:r w:rsidRPr="00EF4218">
        <w:rPr>
          <w:rFonts w:ascii="Times New Roman" w:eastAsia="Times New Roman" w:hAnsi="Times New Roman" w:cs="Times New Roman"/>
        </w:rPr>
        <w:t xml:space="preserve"> in the relevant literature (Boeri), the repatriation of domestic human capital (brain gain) emerges as the optimal policy choice; it </w:t>
      </w:r>
      <w:proofErr w:type="spellStart"/>
      <w:r w:rsidRPr="00EF4218">
        <w:rPr>
          <w:rFonts w:ascii="Times New Roman" w:eastAsia="Times New Roman" w:hAnsi="Times New Roman" w:cs="Times New Roman"/>
        </w:rPr>
        <w:t>minimises</w:t>
      </w:r>
      <w:proofErr w:type="spellEnd"/>
      <w:r w:rsidRPr="00EF4218">
        <w:rPr>
          <w:rFonts w:ascii="Times New Roman" w:eastAsia="Times New Roman" w:hAnsi="Times New Roman" w:cs="Times New Roman"/>
        </w:rPr>
        <w:t xml:space="preserve"> cultural adaptation costs and </w:t>
      </w:r>
      <w:proofErr w:type="spellStart"/>
      <w:r w:rsidRPr="00EF4218">
        <w:rPr>
          <w:rFonts w:ascii="Times New Roman" w:eastAsia="Times New Roman" w:hAnsi="Times New Roman" w:cs="Times New Roman"/>
        </w:rPr>
        <w:t>maximises</w:t>
      </w:r>
      <w:proofErr w:type="spellEnd"/>
      <w:r w:rsidRPr="00EF4218">
        <w:rPr>
          <w:rFonts w:ascii="Times New Roman" w:eastAsia="Times New Roman" w:hAnsi="Times New Roman" w:cs="Times New Roman"/>
        </w:rPr>
        <w:t xml:space="preserve"> the immediate </w:t>
      </w:r>
      <w:proofErr w:type="spellStart"/>
      <w:r w:rsidRPr="00EF4218">
        <w:rPr>
          <w:rFonts w:ascii="Times New Roman" w:eastAsia="Times New Roman" w:hAnsi="Times New Roman" w:cs="Times New Roman"/>
        </w:rPr>
        <w:t>utilisation</w:t>
      </w:r>
      <w:proofErr w:type="spellEnd"/>
      <w:r w:rsidRPr="00EF4218">
        <w:rPr>
          <w:rFonts w:ascii="Times New Roman" w:eastAsia="Times New Roman" w:hAnsi="Times New Roman" w:cs="Times New Roman"/>
        </w:rPr>
        <w:t xml:space="preserve"> of scientific competencies. In this manner, positive externalities (spillover effects) and knowledge diffusion (Lucas) within the domestic productive fabric are rapidly enhanced.</w:t>
      </w:r>
    </w:p>
    <w:p w14:paraId="24D0629A" w14:textId="77777777" w:rsidR="00AC2A63" w:rsidRPr="00EF4218" w:rsidRDefault="00000000" w:rsidP="006110D5">
      <w:pPr>
        <w:spacing w:line="480" w:lineRule="auto"/>
        <w:jc w:val="both"/>
        <w:rPr>
          <w:rFonts w:ascii="Times New Roman" w:eastAsia="Times New Roman" w:hAnsi="Times New Roman" w:cs="Times New Roman"/>
        </w:rPr>
      </w:pPr>
      <w:r w:rsidRPr="00EF4218">
        <w:rPr>
          <w:rFonts w:ascii="Times New Roman" w:eastAsia="Times New Roman" w:hAnsi="Times New Roman" w:cs="Times New Roman"/>
        </w:rPr>
        <w:t xml:space="preserve">Ultimately, this study underscores that a sustainable European employment policy cannot be monolithically designed around an elite pursuit of talent. For member states like Greece, resolving the structural mismatch requires a dual approach: </w:t>
      </w:r>
      <w:proofErr w:type="spellStart"/>
      <w:r w:rsidRPr="00EF4218">
        <w:rPr>
          <w:rFonts w:ascii="Times New Roman" w:eastAsia="Times New Roman" w:hAnsi="Times New Roman" w:cs="Times New Roman"/>
        </w:rPr>
        <w:t>rationalising</w:t>
      </w:r>
      <w:proofErr w:type="spellEnd"/>
      <w:r w:rsidRPr="00EF4218">
        <w:rPr>
          <w:rFonts w:ascii="Times New Roman" w:eastAsia="Times New Roman" w:hAnsi="Times New Roman" w:cs="Times New Roman"/>
        </w:rPr>
        <w:t xml:space="preserve"> legal migration pathways for the essential, low-skilled workforce, while forcefully </w:t>
      </w:r>
      <w:proofErr w:type="spellStart"/>
      <w:r w:rsidRPr="00EF4218">
        <w:rPr>
          <w:rFonts w:ascii="Times New Roman" w:eastAsia="Times New Roman" w:hAnsi="Times New Roman" w:cs="Times New Roman"/>
        </w:rPr>
        <w:t>prioritising</w:t>
      </w:r>
      <w:proofErr w:type="spellEnd"/>
      <w:r w:rsidRPr="00EF4218">
        <w:rPr>
          <w:rFonts w:ascii="Times New Roman" w:eastAsia="Times New Roman" w:hAnsi="Times New Roman" w:cs="Times New Roman"/>
        </w:rPr>
        <w:t xml:space="preserve"> the repatriation of its own scientific capital.</w:t>
      </w:r>
    </w:p>
    <w:p w14:paraId="69637520" w14:textId="77777777" w:rsidR="00AC2A63" w:rsidRDefault="00AC2A63">
      <w:pPr>
        <w:spacing w:line="360" w:lineRule="auto"/>
        <w:jc w:val="both"/>
        <w:rPr>
          <w:rFonts w:ascii="Times New Roman" w:eastAsia="Times New Roman" w:hAnsi="Times New Roman" w:cs="Times New Roman"/>
        </w:rPr>
      </w:pPr>
    </w:p>
    <w:p w14:paraId="27913BE5" w14:textId="77777777" w:rsidR="00AC2A63" w:rsidRDefault="00AC2A63">
      <w:pPr>
        <w:spacing w:line="360" w:lineRule="auto"/>
        <w:jc w:val="both"/>
        <w:rPr>
          <w:rFonts w:ascii="Times New Roman" w:eastAsia="Times New Roman" w:hAnsi="Times New Roman" w:cs="Times New Roman"/>
        </w:rPr>
      </w:pPr>
    </w:p>
    <w:p w14:paraId="09B38FEB" w14:textId="0A5D2373" w:rsidR="00AC2A63" w:rsidRPr="0081251D" w:rsidRDefault="001B7E5B" w:rsidP="002A7C9C">
      <w:pPr>
        <w:pStyle w:val="Heading1"/>
        <w:spacing w:line="240" w:lineRule="auto"/>
        <w:rPr>
          <w:rFonts w:ascii="Times New Roman" w:eastAsia="Times New Roman" w:hAnsi="Times New Roman" w:cs="Times New Roman"/>
          <w:b/>
          <w:bCs/>
          <w:color w:val="000000"/>
          <w:sz w:val="28"/>
          <w:szCs w:val="28"/>
        </w:rPr>
      </w:pPr>
      <w:bookmarkStart w:id="24" w:name="_Toc239090990"/>
      <w:r w:rsidRPr="0081251D">
        <w:rPr>
          <w:rFonts w:ascii="Times New Roman" w:eastAsia="Times New Roman" w:hAnsi="Times New Roman" w:cs="Times New Roman"/>
          <w:b/>
          <w:bCs/>
          <w:color w:val="000000"/>
          <w:sz w:val="28"/>
          <w:szCs w:val="28"/>
        </w:rPr>
        <w:lastRenderedPageBreak/>
        <w:t>Bibliography</w:t>
      </w:r>
      <w:bookmarkEnd w:id="24"/>
    </w:p>
    <w:p w14:paraId="79668DEA" w14:textId="77777777" w:rsidR="00AC2A63" w:rsidRPr="00272083" w:rsidRDefault="00000000" w:rsidP="002A7C9C">
      <w:pPr>
        <w:spacing w:line="240" w:lineRule="auto"/>
        <w:jc w:val="both"/>
        <w:rPr>
          <w:rFonts w:ascii="Times New Roman" w:eastAsia="Times New Roman" w:hAnsi="Times New Roman" w:cs="Times New Roman"/>
        </w:rPr>
      </w:pPr>
      <w:r w:rsidRPr="00272083">
        <w:rPr>
          <w:rFonts w:ascii="Times New Roman" w:eastAsia="Times New Roman" w:hAnsi="Times New Roman" w:cs="Times New Roman"/>
        </w:rPr>
        <w:t xml:space="preserve">Act of the Ministerial Cabinet 35/2025. (2025). Determination of the maximum number of positions for dependent and seasonal work by employment specialty and highly skilled employment, of third-country nationals, for the year 2026 [In Greek]. </w:t>
      </w:r>
      <w:r w:rsidRPr="00272083">
        <w:rPr>
          <w:rFonts w:ascii="Times New Roman" w:eastAsia="Times New Roman" w:hAnsi="Times New Roman" w:cs="Times New Roman"/>
          <w:i/>
          <w:iCs/>
        </w:rPr>
        <w:t>Government Gazette of the Hellenic Republic, Series A, No. 241</w:t>
      </w:r>
      <w:r w:rsidRPr="00272083">
        <w:rPr>
          <w:rFonts w:ascii="Times New Roman" w:eastAsia="Times New Roman" w:hAnsi="Times New Roman" w:cs="Times New Roman"/>
        </w:rPr>
        <w:t>.</w:t>
      </w:r>
    </w:p>
    <w:p w14:paraId="551CB47D"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Bank of Greece. (2024a). </w:t>
      </w:r>
      <w:r>
        <w:rPr>
          <w:rFonts w:ascii="Times New Roman" w:eastAsia="Times New Roman" w:hAnsi="Times New Roman" w:cs="Times New Roman"/>
          <w:i/>
          <w:iCs/>
        </w:rPr>
        <w:t>Governor's annual report for the year 2023</w:t>
      </w:r>
      <w:r>
        <w:rPr>
          <w:rFonts w:ascii="Times New Roman" w:eastAsia="Times New Roman" w:hAnsi="Times New Roman" w:cs="Times New Roman"/>
        </w:rPr>
        <w:t xml:space="preserve"> [In Greek]. Bank of Greece Printing Works.</w:t>
      </w:r>
    </w:p>
    <w:p w14:paraId="3A82D18A"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Boeri, T., &amp; </w:t>
      </w:r>
      <w:proofErr w:type="spellStart"/>
      <w:r>
        <w:rPr>
          <w:rFonts w:ascii="Times New Roman" w:eastAsia="Times New Roman" w:hAnsi="Times New Roman" w:cs="Times New Roman"/>
        </w:rPr>
        <w:t>Brücker</w:t>
      </w:r>
      <w:proofErr w:type="spellEnd"/>
      <w:r>
        <w:rPr>
          <w:rFonts w:ascii="Times New Roman" w:eastAsia="Times New Roman" w:hAnsi="Times New Roman" w:cs="Times New Roman"/>
        </w:rPr>
        <w:t xml:space="preserve">, H. (2005). Why are Europeans so tough on migrants? </w:t>
      </w:r>
      <w:r>
        <w:rPr>
          <w:rFonts w:ascii="Times New Roman" w:eastAsia="Times New Roman" w:hAnsi="Times New Roman" w:cs="Times New Roman"/>
          <w:i/>
          <w:iCs/>
        </w:rPr>
        <w:t>Economic Policy, 20</w:t>
      </w:r>
      <w:r>
        <w:rPr>
          <w:rFonts w:ascii="Times New Roman" w:eastAsia="Times New Roman" w:hAnsi="Times New Roman" w:cs="Times New Roman"/>
        </w:rPr>
        <w:t>(44), 629–703.</w:t>
      </w:r>
    </w:p>
    <w:p w14:paraId="47AD5C65"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Boeri, T., &amp; van Ours, J. (2021). </w:t>
      </w:r>
      <w:r>
        <w:rPr>
          <w:rFonts w:ascii="Times New Roman" w:eastAsia="Times New Roman" w:hAnsi="Times New Roman" w:cs="Times New Roman"/>
          <w:i/>
          <w:iCs/>
        </w:rPr>
        <w:t>The economics of imperfect labor markets</w:t>
      </w:r>
      <w:r>
        <w:rPr>
          <w:rFonts w:ascii="Times New Roman" w:eastAsia="Times New Roman" w:hAnsi="Times New Roman" w:cs="Times New Roman"/>
        </w:rPr>
        <w:t xml:space="preserve"> (3rd ed.). Princeton University Press.</w:t>
      </w:r>
    </w:p>
    <w:p w14:paraId="60BE708C" w14:textId="77777777" w:rsidR="00AC2A63" w:rsidRDefault="00000000" w:rsidP="002A7C9C">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Borjas</w:t>
      </w:r>
      <w:proofErr w:type="spellEnd"/>
      <w:r>
        <w:rPr>
          <w:rFonts w:ascii="Times New Roman" w:eastAsia="Times New Roman" w:hAnsi="Times New Roman" w:cs="Times New Roman"/>
        </w:rPr>
        <w:t xml:space="preserve">, G. J. (2016). </w:t>
      </w:r>
      <w:r>
        <w:rPr>
          <w:rFonts w:ascii="Times New Roman" w:eastAsia="Times New Roman" w:hAnsi="Times New Roman" w:cs="Times New Roman"/>
          <w:i/>
          <w:iCs/>
        </w:rPr>
        <w:t>Labor economics</w:t>
      </w:r>
      <w:r>
        <w:rPr>
          <w:rFonts w:ascii="Times New Roman" w:eastAsia="Times New Roman" w:hAnsi="Times New Roman" w:cs="Times New Roman"/>
        </w:rPr>
        <w:t xml:space="preserve"> (T. </w:t>
      </w:r>
      <w:proofErr w:type="spellStart"/>
      <w:r>
        <w:rPr>
          <w:rFonts w:ascii="Times New Roman" w:eastAsia="Times New Roman" w:hAnsi="Times New Roman" w:cs="Times New Roman"/>
        </w:rPr>
        <w:t>Koutroukis</w:t>
      </w:r>
      <w:proofErr w:type="spellEnd"/>
      <w:r>
        <w:rPr>
          <w:rFonts w:ascii="Times New Roman" w:eastAsia="Times New Roman" w:hAnsi="Times New Roman" w:cs="Times New Roman"/>
        </w:rPr>
        <w:t xml:space="preserve">, Ed. &amp; Trans., 2nd ed.) [In Greek]. </w:t>
      </w:r>
      <w:proofErr w:type="spellStart"/>
      <w:r>
        <w:rPr>
          <w:rFonts w:ascii="Times New Roman" w:eastAsia="Times New Roman" w:hAnsi="Times New Roman" w:cs="Times New Roman"/>
        </w:rPr>
        <w:t>Kritiki</w:t>
      </w:r>
      <w:proofErr w:type="spellEnd"/>
      <w:r>
        <w:rPr>
          <w:rFonts w:ascii="Times New Roman" w:eastAsia="Times New Roman" w:hAnsi="Times New Roman" w:cs="Times New Roman"/>
        </w:rPr>
        <w:t xml:space="preserve"> Publications.</w:t>
      </w:r>
    </w:p>
    <w:p w14:paraId="04F08D3F"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Bourdieu, P. (1986). The forms of capital. In J. Richardson (Ed.), </w:t>
      </w:r>
      <w:r>
        <w:rPr>
          <w:rFonts w:ascii="Times New Roman" w:eastAsia="Times New Roman" w:hAnsi="Times New Roman" w:cs="Times New Roman"/>
          <w:i/>
          <w:iCs/>
        </w:rPr>
        <w:t>Handbook of theory and research for the sociology of education</w:t>
      </w:r>
      <w:r>
        <w:rPr>
          <w:rFonts w:ascii="Times New Roman" w:eastAsia="Times New Roman" w:hAnsi="Times New Roman" w:cs="Times New Roman"/>
        </w:rPr>
        <w:t xml:space="preserve"> (pp. 241–258). Greenwood.</w:t>
      </w:r>
    </w:p>
    <w:p w14:paraId="1B6749F5"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Capital.gr. (2024, September 23). </w:t>
      </w:r>
      <w:r>
        <w:rPr>
          <w:rFonts w:ascii="Times New Roman" w:eastAsia="Times New Roman" w:hAnsi="Times New Roman" w:cs="Times New Roman"/>
          <w:i/>
          <w:iCs/>
        </w:rPr>
        <w:t>Towards new incentives for attracting foreign tax residents</w:t>
      </w:r>
      <w:r>
        <w:rPr>
          <w:rFonts w:ascii="Times New Roman" w:eastAsia="Times New Roman" w:hAnsi="Times New Roman" w:cs="Times New Roman"/>
        </w:rPr>
        <w:t xml:space="preserve"> [In Greek]. </w:t>
      </w:r>
      <w:hyperlink r:id="rId15">
        <w:r>
          <w:rPr>
            <w:rFonts w:ascii="Times New Roman" w:eastAsia="Times New Roman" w:hAnsi="Times New Roman" w:cs="Times New Roman"/>
            <w:color w:val="467886"/>
            <w:u w:val="single"/>
          </w:rPr>
          <w:t>https://www.capital.gr/oikonomia/3955182/pros-nea-kinitra-gia-proselkusi-xenon-forologikon-katoikon/</w:t>
        </w:r>
      </w:hyperlink>
    </w:p>
    <w:p w14:paraId="648D0BF3" w14:textId="77777777" w:rsidR="00AC2A63" w:rsidRDefault="00000000" w:rsidP="002A7C9C">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Cedefop</w:t>
      </w:r>
      <w:proofErr w:type="spellEnd"/>
      <w:r>
        <w:rPr>
          <w:rFonts w:ascii="Times New Roman" w:eastAsia="Times New Roman" w:hAnsi="Times New Roman" w:cs="Times New Roman"/>
        </w:rPr>
        <w:t xml:space="preserve">. (2024). </w:t>
      </w:r>
      <w:r>
        <w:rPr>
          <w:rFonts w:ascii="Times New Roman" w:eastAsia="Times New Roman" w:hAnsi="Times New Roman" w:cs="Times New Roman"/>
          <w:i/>
          <w:iCs/>
        </w:rPr>
        <w:t>2025 skills forecast: Greece</w:t>
      </w:r>
      <w:r>
        <w:rPr>
          <w:rFonts w:ascii="Times New Roman" w:eastAsia="Times New Roman" w:hAnsi="Times New Roman" w:cs="Times New Roman"/>
        </w:rPr>
        <w:t xml:space="preserve">. </w:t>
      </w:r>
      <w:hyperlink r:id="rId16">
        <w:r>
          <w:rPr>
            <w:rFonts w:ascii="Times New Roman" w:eastAsia="Times New Roman" w:hAnsi="Times New Roman" w:cs="Times New Roman"/>
            <w:color w:val="467886"/>
            <w:u w:val="single"/>
          </w:rPr>
          <w:t>https://www.cedefop.europa.eu/en/publications/2025-skills-forecast-greece</w:t>
        </w:r>
      </w:hyperlink>
    </w:p>
    <w:p w14:paraId="12106237"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Council of the European Union. (2024). Council Decision (EU) 2024/3134 of 2 December 2024 on guidelines for the employment policies of the Member States. </w:t>
      </w:r>
      <w:r>
        <w:rPr>
          <w:rFonts w:ascii="Times New Roman" w:eastAsia="Times New Roman" w:hAnsi="Times New Roman" w:cs="Times New Roman"/>
          <w:i/>
          <w:iCs/>
        </w:rPr>
        <w:t>Official Journal of the European Union, L</w:t>
      </w:r>
      <w:r>
        <w:rPr>
          <w:rFonts w:ascii="Times New Roman" w:eastAsia="Times New Roman" w:hAnsi="Times New Roman" w:cs="Times New Roman"/>
        </w:rPr>
        <w:t>, 2024/3134.</w:t>
      </w:r>
    </w:p>
    <w:p w14:paraId="199491E7" w14:textId="77777777" w:rsidR="00AC2A63" w:rsidRDefault="00000000" w:rsidP="002A7C9C">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Dimitriadi</w:t>
      </w:r>
      <w:proofErr w:type="spellEnd"/>
      <w:r>
        <w:rPr>
          <w:rFonts w:ascii="Times New Roman" w:eastAsia="Times New Roman" w:hAnsi="Times New Roman" w:cs="Times New Roman"/>
        </w:rPr>
        <w:t xml:space="preserve">, A. (2024). </w:t>
      </w:r>
      <w:r>
        <w:rPr>
          <w:rFonts w:ascii="Times New Roman" w:eastAsia="Times New Roman" w:hAnsi="Times New Roman" w:cs="Times New Roman"/>
          <w:i/>
          <w:iCs/>
        </w:rPr>
        <w:t>Greece in search of migrant labor force</w:t>
      </w:r>
      <w:r>
        <w:rPr>
          <w:rFonts w:ascii="Times New Roman" w:eastAsia="Times New Roman" w:hAnsi="Times New Roman" w:cs="Times New Roman"/>
        </w:rPr>
        <w:t xml:space="preserve"> (Policy Paper #164/2024) [In Greek]. Hellenic Foundation for European and Foreign Policy (ELIAMEP).</w:t>
      </w:r>
    </w:p>
    <w:p w14:paraId="73AE0E0D"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Doeringer, P. B., &amp; </w:t>
      </w:r>
      <w:proofErr w:type="spellStart"/>
      <w:r>
        <w:rPr>
          <w:rFonts w:ascii="Times New Roman" w:eastAsia="Times New Roman" w:hAnsi="Times New Roman" w:cs="Times New Roman"/>
        </w:rPr>
        <w:t>Piore</w:t>
      </w:r>
      <w:proofErr w:type="spellEnd"/>
      <w:r>
        <w:rPr>
          <w:rFonts w:ascii="Times New Roman" w:eastAsia="Times New Roman" w:hAnsi="Times New Roman" w:cs="Times New Roman"/>
        </w:rPr>
        <w:t xml:space="preserve">, M. J. (1970). </w:t>
      </w:r>
      <w:r>
        <w:rPr>
          <w:rFonts w:ascii="Times New Roman" w:eastAsia="Times New Roman" w:hAnsi="Times New Roman" w:cs="Times New Roman"/>
          <w:i/>
          <w:iCs/>
        </w:rPr>
        <w:t>Internal labor markets and manpower analysis</w:t>
      </w:r>
      <w:r>
        <w:rPr>
          <w:rFonts w:ascii="Times New Roman" w:eastAsia="Times New Roman" w:hAnsi="Times New Roman" w:cs="Times New Roman"/>
        </w:rPr>
        <w:t>. U.S. Department of Labor.</w:t>
      </w:r>
    </w:p>
    <w:p w14:paraId="6C194E65" w14:textId="77777777" w:rsidR="00AC2A63" w:rsidRDefault="00000000" w:rsidP="002A7C9C">
      <w:pPr>
        <w:spacing w:line="240" w:lineRule="auto"/>
        <w:jc w:val="both"/>
        <w:rPr>
          <w:rFonts w:ascii="Times New Roman" w:eastAsia="Times New Roman" w:hAnsi="Times New Roman" w:cs="Times New Roman"/>
        </w:rPr>
      </w:pPr>
      <w:r w:rsidRPr="00272083">
        <w:rPr>
          <w:rFonts w:ascii="Times New Roman" w:eastAsia="Times New Roman" w:hAnsi="Times New Roman" w:cs="Times New Roman"/>
        </w:rPr>
        <w:t xml:space="preserve">European Commission. (2023a). </w:t>
      </w:r>
      <w:r w:rsidRPr="00272083">
        <w:rPr>
          <w:rFonts w:ascii="Times New Roman" w:eastAsia="Times New Roman" w:hAnsi="Times New Roman" w:cs="Times New Roman"/>
          <w:i/>
          <w:iCs/>
        </w:rPr>
        <w:t>Proposal for a Regulation of the European Parliament and of the Council on establishing an EU Talent Pool</w:t>
      </w:r>
      <w:r w:rsidRPr="00272083">
        <w:rPr>
          <w:rFonts w:ascii="Times New Roman" w:eastAsia="Times New Roman" w:hAnsi="Times New Roman" w:cs="Times New Roman"/>
        </w:rPr>
        <w:t xml:space="preserve"> (COM(2023) 716 final).</w:t>
      </w:r>
    </w:p>
    <w:p w14:paraId="21E175E6" w14:textId="77777777" w:rsidR="00AC2A63" w:rsidRDefault="00000000" w:rsidP="002A7C9C">
      <w:pPr>
        <w:spacing w:line="240" w:lineRule="auto"/>
        <w:jc w:val="both"/>
        <w:rPr>
          <w:rFonts w:ascii="Times New Roman" w:eastAsia="Times New Roman" w:hAnsi="Times New Roman" w:cs="Times New Roman"/>
        </w:rPr>
      </w:pPr>
      <w:r w:rsidRPr="009C5504">
        <w:rPr>
          <w:rFonts w:ascii="Times New Roman" w:eastAsia="Times New Roman" w:hAnsi="Times New Roman" w:cs="Times New Roman"/>
        </w:rPr>
        <w:t xml:space="preserve">European Commission. (2023b). </w:t>
      </w:r>
      <w:r w:rsidRPr="009C5504">
        <w:rPr>
          <w:rFonts w:ascii="Times New Roman" w:eastAsia="Times New Roman" w:hAnsi="Times New Roman" w:cs="Times New Roman"/>
          <w:i/>
          <w:iCs/>
        </w:rPr>
        <w:t>Annex to the Proposal for a Regulation of the European Parliament and of the Council on establishing an EU Talent Pool</w:t>
      </w:r>
      <w:r w:rsidRPr="009C5504">
        <w:rPr>
          <w:rFonts w:ascii="Times New Roman" w:eastAsia="Times New Roman" w:hAnsi="Times New Roman" w:cs="Times New Roman"/>
        </w:rPr>
        <w:t xml:space="preserve"> (COM(2023) 716 final, Annex).</w:t>
      </w:r>
    </w:p>
    <w:p w14:paraId="56FADDEB" w14:textId="156E9B5E"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European Commission. (2024). </w:t>
      </w:r>
      <w:r>
        <w:rPr>
          <w:rFonts w:ascii="Times New Roman" w:eastAsia="Times New Roman" w:hAnsi="Times New Roman" w:cs="Times New Roman"/>
          <w:i/>
          <w:iCs/>
        </w:rPr>
        <w:t>Pact on Migration and Asylum</w:t>
      </w:r>
      <w:r>
        <w:rPr>
          <w:rFonts w:ascii="Times New Roman" w:eastAsia="Times New Roman" w:hAnsi="Times New Roman" w:cs="Times New Roman"/>
        </w:rPr>
        <w:t xml:space="preserve">. Directorate-General for Migration and Home Affairs. </w:t>
      </w:r>
      <w:hyperlink r:id="rId17">
        <w:r>
          <w:rPr>
            <w:rFonts w:ascii="Times New Roman" w:eastAsia="Times New Roman" w:hAnsi="Times New Roman" w:cs="Times New Roman"/>
            <w:color w:val="467886"/>
            <w:u w:val="single"/>
          </w:rPr>
          <w:t>https</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home</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affairs</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ec</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europa</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eu</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policies</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migration</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and</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asylum</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pact</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migration</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and</w:t>
        </w:r>
        <w:r w:rsidRPr="00931710">
          <w:rPr>
            <w:rFonts w:ascii="Times New Roman" w:eastAsia="Times New Roman" w:hAnsi="Times New Roman" w:cs="Times New Roman"/>
            <w:color w:val="467886"/>
            <w:u w:val="single"/>
          </w:rPr>
          <w:t>-</w:t>
        </w:r>
        <w:r>
          <w:rPr>
            <w:rFonts w:ascii="Times New Roman" w:eastAsia="Times New Roman" w:hAnsi="Times New Roman" w:cs="Times New Roman"/>
            <w:color w:val="467886"/>
            <w:u w:val="single"/>
          </w:rPr>
          <w:t>asylum</w:t>
        </w:r>
        <w:r w:rsidRPr="00931710">
          <w:rPr>
            <w:rFonts w:ascii="Times New Roman" w:eastAsia="Times New Roman" w:hAnsi="Times New Roman" w:cs="Times New Roman"/>
            <w:color w:val="467886"/>
            <w:u w:val="single"/>
          </w:rPr>
          <w:t>_</w:t>
        </w:r>
        <w:r>
          <w:rPr>
            <w:rFonts w:ascii="Times New Roman" w:eastAsia="Times New Roman" w:hAnsi="Times New Roman" w:cs="Times New Roman"/>
            <w:color w:val="467886"/>
            <w:u w:val="single"/>
          </w:rPr>
          <w:t>el</w:t>
        </w:r>
      </w:hyperlink>
      <w:r w:rsidRPr="00931710">
        <w:rPr>
          <w:rFonts w:ascii="Times New Roman" w:eastAsia="Times New Roman" w:hAnsi="Times New Roman" w:cs="Times New Roman"/>
        </w:rPr>
        <w:t xml:space="preserve"> </w:t>
      </w:r>
    </w:p>
    <w:p w14:paraId="712061DA"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European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xml:space="preserve"> Authority. (2024). </w:t>
      </w:r>
      <w:r>
        <w:rPr>
          <w:rFonts w:ascii="Times New Roman" w:eastAsia="Times New Roman" w:hAnsi="Times New Roman" w:cs="Times New Roman"/>
          <w:i/>
          <w:iCs/>
        </w:rPr>
        <w:t xml:space="preserve">EURES Report on </w:t>
      </w:r>
      <w:proofErr w:type="spellStart"/>
      <w:r>
        <w:rPr>
          <w:rFonts w:ascii="Times New Roman" w:eastAsia="Times New Roman" w:hAnsi="Times New Roman" w:cs="Times New Roman"/>
          <w:i/>
          <w:iCs/>
        </w:rPr>
        <w:t>labour</w:t>
      </w:r>
      <w:proofErr w:type="spellEnd"/>
      <w:r>
        <w:rPr>
          <w:rFonts w:ascii="Times New Roman" w:eastAsia="Times New Roman" w:hAnsi="Times New Roman" w:cs="Times New Roman"/>
          <w:i/>
          <w:iCs/>
        </w:rPr>
        <w:t xml:space="preserve"> shortages and surpluses 2023: List of shortage and surplus occupations</w:t>
      </w:r>
      <w:r>
        <w:rPr>
          <w:rFonts w:ascii="Times New Roman" w:eastAsia="Times New Roman" w:hAnsi="Times New Roman" w:cs="Times New Roman"/>
        </w:rPr>
        <w:t xml:space="preserve"> [Data set]. </w:t>
      </w:r>
      <w:hyperlink r:id="rId18">
        <w:r>
          <w:rPr>
            <w:rFonts w:ascii="Times New Roman" w:eastAsia="Times New Roman" w:hAnsi="Times New Roman" w:cs="Times New Roman"/>
            <w:color w:val="467886"/>
            <w:u w:val="single"/>
          </w:rPr>
          <w:t>https://www.ela.europa.eu/en/publications/labour-shortages-and-surpluses-europe-2023</w:t>
        </w:r>
      </w:hyperlink>
    </w:p>
    <w:p w14:paraId="0256CE1A"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European Parliament, &amp; Council of the European Union. (2024). Regulation (EU) 2024/1351 of the European Parliament and of the Council of 14 May 2024 on asylum and migration management... </w:t>
      </w:r>
      <w:r>
        <w:rPr>
          <w:rFonts w:ascii="Times New Roman" w:eastAsia="Times New Roman" w:hAnsi="Times New Roman" w:cs="Times New Roman"/>
          <w:i/>
          <w:iCs/>
        </w:rPr>
        <w:t>Official Journal of the European Union, L</w:t>
      </w:r>
      <w:r>
        <w:rPr>
          <w:rFonts w:ascii="Times New Roman" w:eastAsia="Times New Roman" w:hAnsi="Times New Roman" w:cs="Times New Roman"/>
        </w:rPr>
        <w:t>, 2024/1351.</w:t>
      </w:r>
    </w:p>
    <w:p w14:paraId="572D701E" w14:textId="77777777" w:rsidR="00AC2A63" w:rsidRPr="000A7732" w:rsidRDefault="00000000" w:rsidP="002A7C9C">
      <w:pPr>
        <w:spacing w:line="240" w:lineRule="auto"/>
        <w:jc w:val="both"/>
        <w:rPr>
          <w:rFonts w:ascii="Times New Roman" w:eastAsia="Times New Roman" w:hAnsi="Times New Roman" w:cs="Times New Roman"/>
          <w:color w:val="467886"/>
          <w:u w:val="single"/>
          <w:lang w:val="en-US"/>
        </w:rPr>
      </w:pPr>
      <w:r>
        <w:rPr>
          <w:rFonts w:ascii="Times New Roman" w:eastAsia="Times New Roman" w:hAnsi="Times New Roman" w:cs="Times New Roman"/>
        </w:rPr>
        <w:t xml:space="preserve">European Parliament, &amp; Council of the European Union. (2026). Regulation (EU) 2026/1047 of the European Parliament and of the Council of 29 April 2026 establishing an EU Talent Pool. </w:t>
      </w:r>
      <w:r>
        <w:rPr>
          <w:rFonts w:ascii="Times New Roman" w:eastAsia="Times New Roman" w:hAnsi="Times New Roman" w:cs="Times New Roman"/>
          <w:i/>
          <w:iCs/>
        </w:rPr>
        <w:t>Official Journal of the European Union, L</w:t>
      </w:r>
      <w:r>
        <w:rPr>
          <w:rFonts w:ascii="Times New Roman" w:eastAsia="Times New Roman" w:hAnsi="Times New Roman" w:cs="Times New Roman"/>
        </w:rPr>
        <w:t xml:space="preserve">, 2026/1047. </w:t>
      </w:r>
      <w:hyperlink r:id="rId19">
        <w:r>
          <w:rPr>
            <w:rFonts w:ascii="Times New Roman" w:eastAsia="Times New Roman" w:hAnsi="Times New Roman" w:cs="Times New Roman"/>
            <w:color w:val="467886"/>
            <w:u w:val="single"/>
          </w:rPr>
          <w:t>http://data.europa.eu/eli/reg/2026/1047/oj</w:t>
        </w:r>
      </w:hyperlink>
    </w:p>
    <w:p w14:paraId="47D16126" w14:textId="13863C19" w:rsidR="00BA6315" w:rsidRPr="000A7732" w:rsidRDefault="00BA6315" w:rsidP="002A7C9C">
      <w:pPr>
        <w:spacing w:line="240" w:lineRule="auto"/>
        <w:jc w:val="both"/>
        <w:rPr>
          <w:rFonts w:ascii="Times New Roman" w:eastAsia="Times New Roman" w:hAnsi="Times New Roman" w:cs="Times New Roman"/>
          <w:lang w:val="en-US"/>
        </w:rPr>
      </w:pPr>
      <w:r w:rsidRPr="00BA6315">
        <w:rPr>
          <w:rFonts w:ascii="Times New Roman" w:hAnsi="Times New Roman" w:cs="Times New Roman"/>
        </w:rPr>
        <w:t xml:space="preserve">Eurostat. (2026). </w:t>
      </w:r>
      <w:r w:rsidRPr="00BA6315">
        <w:rPr>
          <w:rFonts w:ascii="Times New Roman" w:hAnsi="Times New Roman" w:cs="Times New Roman"/>
          <w:i/>
          <w:iCs/>
        </w:rPr>
        <w:t>Persons subject to EU Blue Card decisions by length of validity, age, sex, citizenship and size of employer</w:t>
      </w:r>
      <w:r w:rsidRPr="00BA6315">
        <w:rPr>
          <w:rFonts w:ascii="Times New Roman" w:hAnsi="Times New Roman" w:cs="Times New Roman"/>
        </w:rPr>
        <w:t xml:space="preserve"> [Data set, migr_resbc12]. European Commission. </w:t>
      </w:r>
      <w:hyperlink r:id="rId20" w:tgtFrame="_blank" w:history="1">
        <w:r w:rsidRPr="00BA6315">
          <w:rPr>
            <w:rFonts w:ascii="Times New Roman" w:hAnsi="Times New Roman" w:cs="Times New Roman"/>
            <w:color w:val="0000FF"/>
            <w:u w:val="single"/>
          </w:rPr>
          <w:t>https://doi.org/10.2908/migr_resbc12</w:t>
        </w:r>
      </w:hyperlink>
    </w:p>
    <w:p w14:paraId="05332358"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Eurostat. (2025a). </w:t>
      </w:r>
      <w:r>
        <w:rPr>
          <w:rFonts w:ascii="Times New Roman" w:eastAsia="Times New Roman" w:hAnsi="Times New Roman" w:cs="Times New Roman"/>
          <w:i/>
          <w:iCs/>
        </w:rPr>
        <w:t>Job vacancy rate by NACE Rev. 2 activity - annual data</w:t>
      </w:r>
      <w:r>
        <w:rPr>
          <w:rFonts w:ascii="Times New Roman" w:eastAsia="Times New Roman" w:hAnsi="Times New Roman" w:cs="Times New Roman"/>
        </w:rPr>
        <w:t xml:space="preserve"> [Data set]. </w:t>
      </w:r>
      <w:hyperlink r:id="rId21">
        <w:r>
          <w:rPr>
            <w:rFonts w:ascii="Times New Roman" w:eastAsia="Times New Roman" w:hAnsi="Times New Roman" w:cs="Times New Roman"/>
            <w:color w:val="467886"/>
            <w:u w:val="single"/>
          </w:rPr>
          <w:t>https://ec.europa.eu/eurostat/databrowser/view/jvs_a_rate_r2/default/table?lang=en</w:t>
        </w:r>
      </w:hyperlink>
    </w:p>
    <w:p w14:paraId="15DF956D"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Eurostat. (2025b). </w:t>
      </w:r>
      <w:r>
        <w:rPr>
          <w:rFonts w:ascii="Times New Roman" w:eastAsia="Times New Roman" w:hAnsi="Times New Roman" w:cs="Times New Roman"/>
          <w:i/>
          <w:iCs/>
        </w:rPr>
        <w:t>Unemployment by sex and age - quarterly data</w:t>
      </w:r>
      <w:r>
        <w:rPr>
          <w:rFonts w:ascii="Times New Roman" w:eastAsia="Times New Roman" w:hAnsi="Times New Roman" w:cs="Times New Roman"/>
        </w:rPr>
        <w:t xml:space="preserve"> [Data set]. </w:t>
      </w:r>
      <w:hyperlink r:id="rId22">
        <w:r>
          <w:rPr>
            <w:rFonts w:ascii="Times New Roman" w:eastAsia="Times New Roman" w:hAnsi="Times New Roman" w:cs="Times New Roman"/>
            <w:color w:val="467886"/>
            <w:u w:val="single"/>
          </w:rPr>
          <w:t>https://ec.europa.eu/eurostat/databrowser/view/une_rt_q/default/table?lang=en</w:t>
        </w:r>
      </w:hyperlink>
    </w:p>
    <w:p w14:paraId="3D7441C0" w14:textId="77777777" w:rsidR="00AC2A63" w:rsidRDefault="00000000" w:rsidP="002A7C9C">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Fabbe</w:t>
      </w:r>
      <w:proofErr w:type="spellEnd"/>
      <w:r>
        <w:rPr>
          <w:rFonts w:ascii="Times New Roman" w:eastAsia="Times New Roman" w:hAnsi="Times New Roman" w:cs="Times New Roman"/>
        </w:rPr>
        <w:t xml:space="preserve">, K. E., </w:t>
      </w:r>
      <w:proofErr w:type="spellStart"/>
      <w:r>
        <w:rPr>
          <w:rFonts w:ascii="Times New Roman" w:eastAsia="Times New Roman" w:hAnsi="Times New Roman" w:cs="Times New Roman"/>
        </w:rPr>
        <w:t>Karavias</w:t>
      </w:r>
      <w:proofErr w:type="spellEnd"/>
      <w:r>
        <w:rPr>
          <w:rFonts w:ascii="Times New Roman" w:eastAsia="Times New Roman" w:hAnsi="Times New Roman" w:cs="Times New Roman"/>
        </w:rPr>
        <w:t xml:space="preserve">, M., Eshete, S., &amp; </w:t>
      </w:r>
      <w:proofErr w:type="spellStart"/>
      <w:r>
        <w:rPr>
          <w:rFonts w:ascii="Times New Roman" w:eastAsia="Times New Roman" w:hAnsi="Times New Roman" w:cs="Times New Roman"/>
        </w:rPr>
        <w:t>Karoutsos</w:t>
      </w:r>
      <w:proofErr w:type="spellEnd"/>
      <w:r>
        <w:rPr>
          <w:rFonts w:ascii="Times New Roman" w:eastAsia="Times New Roman" w:hAnsi="Times New Roman" w:cs="Times New Roman"/>
        </w:rPr>
        <w:t xml:space="preserve">, N. (2025). </w:t>
      </w:r>
      <w:r>
        <w:rPr>
          <w:rFonts w:ascii="Times New Roman" w:eastAsia="Times New Roman" w:hAnsi="Times New Roman" w:cs="Times New Roman"/>
          <w:i/>
          <w:iCs/>
        </w:rPr>
        <w:t>A Mediterranean perspective on current migration governance</w:t>
      </w:r>
      <w:r>
        <w:rPr>
          <w:rFonts w:ascii="Times New Roman" w:eastAsia="Times New Roman" w:hAnsi="Times New Roman" w:cs="Times New Roman"/>
        </w:rPr>
        <w:t xml:space="preserve"> (Policy Brief, Issue 2025/19). Florence School of Transnational Governance &amp; </w:t>
      </w:r>
      <w:proofErr w:type="spellStart"/>
      <w:r>
        <w:rPr>
          <w:rFonts w:ascii="Times New Roman" w:eastAsia="Times New Roman" w:hAnsi="Times New Roman" w:cs="Times New Roman"/>
        </w:rPr>
        <w:t>MedMA</w:t>
      </w:r>
      <w:proofErr w:type="spellEnd"/>
      <w:r>
        <w:rPr>
          <w:rFonts w:ascii="Times New Roman" w:eastAsia="Times New Roman" w:hAnsi="Times New Roman" w:cs="Times New Roman"/>
        </w:rPr>
        <w:t>, European University Institute.</w:t>
      </w:r>
    </w:p>
    <w:p w14:paraId="3B31523E"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Hellenic Statistical Authority (ELSTAT). (2023a). </w:t>
      </w:r>
      <w:r>
        <w:rPr>
          <w:rFonts w:ascii="Times New Roman" w:eastAsia="Times New Roman" w:hAnsi="Times New Roman" w:cs="Times New Roman"/>
          <w:i/>
          <w:iCs/>
        </w:rPr>
        <w:t>Results of the 2021 Population - Housing Census: Employed persons by branch of economic activity and citizenship (Table A15)</w:t>
      </w:r>
      <w:r>
        <w:rPr>
          <w:rFonts w:ascii="Times New Roman" w:eastAsia="Times New Roman" w:hAnsi="Times New Roman" w:cs="Times New Roman"/>
        </w:rPr>
        <w:t xml:space="preserve"> [Data set] [In Greek]. </w:t>
      </w:r>
      <w:hyperlink r:id="rId23">
        <w:r>
          <w:rPr>
            <w:rFonts w:ascii="Times New Roman" w:eastAsia="Times New Roman" w:hAnsi="Times New Roman" w:cs="Times New Roman"/>
            <w:color w:val="467886"/>
            <w:u w:val="single"/>
          </w:rPr>
          <w:t>https://www.statistics.gr/el/statistics/-/publication/SAM03/-</w:t>
        </w:r>
      </w:hyperlink>
    </w:p>
    <w:p w14:paraId="6E2CE60B"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Hellenic Statistical Authority (ELSTAT). (2023b). </w:t>
      </w:r>
      <w:r>
        <w:rPr>
          <w:rFonts w:ascii="Times New Roman" w:eastAsia="Times New Roman" w:hAnsi="Times New Roman" w:cs="Times New Roman"/>
          <w:i/>
          <w:iCs/>
        </w:rPr>
        <w:t>Results of the 2021 Population - Housing Census: Employed persons by citizenship and occupation (Table B10)</w:t>
      </w:r>
      <w:r>
        <w:rPr>
          <w:rFonts w:ascii="Times New Roman" w:eastAsia="Times New Roman" w:hAnsi="Times New Roman" w:cs="Times New Roman"/>
        </w:rPr>
        <w:t xml:space="preserve"> [Data set] [In Greek]. </w:t>
      </w:r>
      <w:hyperlink r:id="rId24">
        <w:r>
          <w:rPr>
            <w:rFonts w:ascii="Times New Roman" w:eastAsia="Times New Roman" w:hAnsi="Times New Roman" w:cs="Times New Roman"/>
            <w:color w:val="467886"/>
            <w:u w:val="single"/>
          </w:rPr>
          <w:t>https://www.statistics.gr/el/statistics/-/publication/SAM03/-</w:t>
        </w:r>
      </w:hyperlink>
    </w:p>
    <w:p w14:paraId="4B8225D0" w14:textId="77777777" w:rsidR="00AC2A63" w:rsidRDefault="00000000" w:rsidP="002A7C9C">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Ignatow</w:t>
      </w:r>
      <w:proofErr w:type="spellEnd"/>
      <w:r>
        <w:rPr>
          <w:rFonts w:ascii="Times New Roman" w:eastAsia="Times New Roman" w:hAnsi="Times New Roman" w:cs="Times New Roman"/>
        </w:rPr>
        <w:t xml:space="preserve">, G., &amp; Robinson, L. (2017). Pierre Bourdieu: Theorizing the digital. </w:t>
      </w:r>
      <w:r>
        <w:rPr>
          <w:rFonts w:ascii="Times New Roman" w:eastAsia="Times New Roman" w:hAnsi="Times New Roman" w:cs="Times New Roman"/>
          <w:i/>
          <w:iCs/>
        </w:rPr>
        <w:t>Information, Communication &amp; Society, 20</w:t>
      </w:r>
      <w:r>
        <w:rPr>
          <w:rFonts w:ascii="Times New Roman" w:eastAsia="Times New Roman" w:hAnsi="Times New Roman" w:cs="Times New Roman"/>
        </w:rPr>
        <w:t xml:space="preserve">(7), 950–966. </w:t>
      </w:r>
      <w:hyperlink r:id="rId25">
        <w:r>
          <w:rPr>
            <w:rFonts w:ascii="Times New Roman" w:eastAsia="Times New Roman" w:hAnsi="Times New Roman" w:cs="Times New Roman"/>
            <w:color w:val="467886"/>
            <w:u w:val="single"/>
          </w:rPr>
          <w:t>https://doi.org/10.1080/1369118X.2017.1301519</w:t>
        </w:r>
      </w:hyperlink>
    </w:p>
    <w:p w14:paraId="5AF1731A" w14:textId="77777777" w:rsidR="00AC2A63" w:rsidRDefault="00000000" w:rsidP="002A7C9C">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Karamesini</w:t>
      </w:r>
      <w:proofErr w:type="spellEnd"/>
      <w:r>
        <w:rPr>
          <w:rFonts w:ascii="Times New Roman" w:eastAsia="Times New Roman" w:hAnsi="Times New Roman" w:cs="Times New Roman"/>
        </w:rPr>
        <w:t xml:space="preserve">, M. (2024). </w:t>
      </w:r>
      <w:r>
        <w:rPr>
          <w:rFonts w:ascii="Times New Roman" w:eastAsia="Times New Roman" w:hAnsi="Times New Roman" w:cs="Times New Roman"/>
          <w:i/>
          <w:iCs/>
        </w:rPr>
        <w:t>Notes (5): Institutional and radical approaches to the labor market</w:t>
      </w:r>
      <w:r>
        <w:rPr>
          <w:rFonts w:ascii="Times New Roman" w:eastAsia="Times New Roman" w:hAnsi="Times New Roman" w:cs="Times New Roman"/>
        </w:rPr>
        <w:t xml:space="preserve"> [Unpublished material] [In Greek]. Department of Social Policy, </w:t>
      </w:r>
      <w:proofErr w:type="spellStart"/>
      <w:r>
        <w:rPr>
          <w:rFonts w:ascii="Times New Roman" w:eastAsia="Times New Roman" w:hAnsi="Times New Roman" w:cs="Times New Roman"/>
        </w:rPr>
        <w:t>Panteion</w:t>
      </w:r>
      <w:proofErr w:type="spellEnd"/>
      <w:r>
        <w:rPr>
          <w:rFonts w:ascii="Times New Roman" w:eastAsia="Times New Roman" w:hAnsi="Times New Roman" w:cs="Times New Roman"/>
        </w:rPr>
        <w:t xml:space="preserve"> University.</w:t>
      </w:r>
    </w:p>
    <w:p w14:paraId="7BD9A4C7" w14:textId="77777777" w:rsidR="00AC2A63" w:rsidRDefault="00000000" w:rsidP="002A7C9C">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Karamesini</w:t>
      </w:r>
      <w:proofErr w:type="spellEnd"/>
      <w:r>
        <w:rPr>
          <w:rFonts w:ascii="Times New Roman" w:eastAsia="Times New Roman" w:hAnsi="Times New Roman" w:cs="Times New Roman"/>
        </w:rPr>
        <w:t xml:space="preserve">, M., &amp; Ioannidis, G. (2023). </w:t>
      </w:r>
      <w:r>
        <w:rPr>
          <w:rFonts w:ascii="Times New Roman" w:eastAsia="Times New Roman" w:hAnsi="Times New Roman" w:cs="Times New Roman"/>
          <w:i/>
          <w:iCs/>
        </w:rPr>
        <w:t>Unemployment and employment policy: Theories, typologies, design, evaluation</w:t>
      </w:r>
      <w:r>
        <w:rPr>
          <w:rFonts w:ascii="Times New Roman" w:eastAsia="Times New Roman" w:hAnsi="Times New Roman" w:cs="Times New Roman"/>
        </w:rPr>
        <w:t xml:space="preserve"> [In Greek]. Hellenic Academic Libraries Link - </w:t>
      </w:r>
      <w:proofErr w:type="spellStart"/>
      <w:r>
        <w:rPr>
          <w:rFonts w:ascii="Times New Roman" w:eastAsia="Times New Roman" w:hAnsi="Times New Roman" w:cs="Times New Roman"/>
        </w:rPr>
        <w:t>Kallipos</w:t>
      </w:r>
      <w:proofErr w:type="spellEnd"/>
      <w:r>
        <w:rPr>
          <w:rFonts w:ascii="Times New Roman" w:eastAsia="Times New Roman" w:hAnsi="Times New Roman" w:cs="Times New Roman"/>
        </w:rPr>
        <w:t>.</w:t>
      </w:r>
    </w:p>
    <w:p w14:paraId="67935B8E"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Law 4429/2016. Hellenic Foundation for Research and Innovation and other provisions. </w:t>
      </w:r>
      <w:r>
        <w:rPr>
          <w:rFonts w:ascii="Times New Roman" w:eastAsia="Times New Roman" w:hAnsi="Times New Roman" w:cs="Times New Roman"/>
          <w:i/>
          <w:iCs/>
        </w:rPr>
        <w:t>Government Gazette of the Hellenic Republic, Series A, No. 199</w:t>
      </w:r>
      <w:r>
        <w:rPr>
          <w:rFonts w:ascii="Times New Roman" w:eastAsia="Times New Roman" w:hAnsi="Times New Roman" w:cs="Times New Roman"/>
        </w:rPr>
        <w:t>.</w:t>
      </w:r>
    </w:p>
    <w:p w14:paraId="7F8F205D" w14:textId="7FB313AC"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Law 4758/2020. Curtailment of smuggling... incentives for attracting tax residents and other provisions. </w:t>
      </w:r>
      <w:r>
        <w:rPr>
          <w:rFonts w:ascii="Times New Roman" w:eastAsia="Times New Roman" w:hAnsi="Times New Roman" w:cs="Times New Roman"/>
          <w:i/>
          <w:iCs/>
        </w:rPr>
        <w:t>Government Gazette of the Hellenic Republic, Series A, No. 242</w:t>
      </w:r>
      <w:r>
        <w:rPr>
          <w:rFonts w:ascii="Times New Roman" w:eastAsia="Times New Roman" w:hAnsi="Times New Roman" w:cs="Times New Roman"/>
        </w:rPr>
        <w:t>.</w:t>
      </w:r>
    </w:p>
    <w:p w14:paraId="30D991B6"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Law 5038/2023. Migration Code. </w:t>
      </w:r>
      <w:r>
        <w:rPr>
          <w:rFonts w:ascii="Times New Roman" w:eastAsia="Times New Roman" w:hAnsi="Times New Roman" w:cs="Times New Roman"/>
          <w:i/>
          <w:iCs/>
        </w:rPr>
        <w:t>Government Gazette of the Hellenic Republic, Series A, No. 81</w:t>
      </w:r>
      <w:r>
        <w:rPr>
          <w:rFonts w:ascii="Times New Roman" w:eastAsia="Times New Roman" w:hAnsi="Times New Roman" w:cs="Times New Roman"/>
        </w:rPr>
        <w:t>.</w:t>
      </w:r>
    </w:p>
    <w:p w14:paraId="1710A6BF"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Lucas, R. E., Jr. (1988). On the mechanics of economic development. </w:t>
      </w:r>
      <w:r>
        <w:rPr>
          <w:rFonts w:ascii="Times New Roman" w:eastAsia="Times New Roman" w:hAnsi="Times New Roman" w:cs="Times New Roman"/>
          <w:i/>
          <w:iCs/>
        </w:rPr>
        <w:t>Journal of Monetary Economics, 22</w:t>
      </w:r>
      <w:r>
        <w:rPr>
          <w:rFonts w:ascii="Times New Roman" w:eastAsia="Times New Roman" w:hAnsi="Times New Roman" w:cs="Times New Roman"/>
        </w:rPr>
        <w:t>(1), 3–42.</w:t>
      </w:r>
    </w:p>
    <w:p w14:paraId="74D9BBFC" w14:textId="14069D35" w:rsidR="00AC2A63" w:rsidRDefault="00000000" w:rsidP="002A7C9C">
      <w:pPr>
        <w:spacing w:line="240" w:lineRule="auto"/>
        <w:jc w:val="both"/>
        <w:rPr>
          <w:rFonts w:ascii="Times New Roman" w:eastAsia="Times New Roman" w:hAnsi="Times New Roman" w:cs="Times New Roman"/>
        </w:rPr>
      </w:pPr>
      <w:r w:rsidRPr="009D7F12">
        <w:rPr>
          <w:rFonts w:ascii="Times New Roman" w:eastAsia="Times New Roman" w:hAnsi="Times New Roman" w:cs="Times New Roman"/>
        </w:rPr>
        <w:t xml:space="preserve">Ministry of </w:t>
      </w:r>
      <w:proofErr w:type="spellStart"/>
      <w:r w:rsidRPr="009D7F12">
        <w:rPr>
          <w:rFonts w:ascii="Times New Roman" w:eastAsia="Times New Roman" w:hAnsi="Times New Roman" w:cs="Times New Roman"/>
        </w:rPr>
        <w:t>Labour</w:t>
      </w:r>
      <w:proofErr w:type="spellEnd"/>
      <w:r w:rsidRPr="009D7F12">
        <w:rPr>
          <w:rFonts w:ascii="Times New Roman" w:eastAsia="Times New Roman" w:hAnsi="Times New Roman" w:cs="Times New Roman"/>
        </w:rPr>
        <w:t xml:space="preserve"> and Social Security. (2024). Joint Ministerial Decision No. 14761/2024: Determination of the maximum number of residence permits for work of third-country nationals </w:t>
      </w:r>
      <w:r w:rsidRPr="009D7F12">
        <w:rPr>
          <w:rFonts w:ascii="Times New Roman" w:eastAsia="Times New Roman" w:hAnsi="Times New Roman" w:cs="Times New Roman"/>
        </w:rPr>
        <w:lastRenderedPageBreak/>
        <w:t xml:space="preserve">for the years 2023 and 2024 [In Greek]. </w:t>
      </w:r>
      <w:r w:rsidRPr="009D7F12">
        <w:rPr>
          <w:rFonts w:ascii="Times New Roman" w:eastAsia="Times New Roman" w:hAnsi="Times New Roman" w:cs="Times New Roman"/>
          <w:i/>
          <w:iCs/>
        </w:rPr>
        <w:t>Government Gazette of the Hellenic Republic, Series B, No. 1390</w:t>
      </w:r>
      <w:r w:rsidRPr="009D7F12">
        <w:rPr>
          <w:rFonts w:ascii="Times New Roman" w:eastAsia="Times New Roman" w:hAnsi="Times New Roman" w:cs="Times New Roman"/>
        </w:rPr>
        <w:t>.</w:t>
      </w:r>
      <w:r>
        <w:rPr>
          <w:rFonts w:ascii="Times New Roman" w:eastAsia="Times New Roman" w:hAnsi="Times New Roman" w:cs="Times New Roman"/>
        </w:rPr>
        <w:t xml:space="preserve"> </w:t>
      </w:r>
    </w:p>
    <w:p w14:paraId="600DA124"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National Documentation Centre. (2017). </w:t>
      </w:r>
      <w:r>
        <w:rPr>
          <w:rFonts w:ascii="Times New Roman" w:eastAsia="Times New Roman" w:hAnsi="Times New Roman" w:cs="Times New Roman"/>
          <w:i/>
          <w:iCs/>
        </w:rPr>
        <w:t>"Knowledge and Partnership Bridges" initiative</w:t>
      </w:r>
      <w:r>
        <w:rPr>
          <w:rFonts w:ascii="Times New Roman" w:eastAsia="Times New Roman" w:hAnsi="Times New Roman" w:cs="Times New Roman"/>
        </w:rPr>
        <w:t xml:space="preserve"> [In Greek]. </w:t>
      </w:r>
      <w:hyperlink r:id="rId26">
        <w:r>
          <w:rPr>
            <w:rFonts w:ascii="Times New Roman" w:eastAsia="Times New Roman" w:hAnsi="Times New Roman" w:cs="Times New Roman"/>
            <w:color w:val="467886"/>
            <w:u w:val="single"/>
          </w:rPr>
          <w:t>https://www.knowledgebridges.gr/</w:t>
        </w:r>
      </w:hyperlink>
    </w:p>
    <w:p w14:paraId="05EBBFD1"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OECD. (2026). </w:t>
      </w:r>
      <w:r>
        <w:rPr>
          <w:rFonts w:ascii="Times New Roman" w:eastAsia="Times New Roman" w:hAnsi="Times New Roman" w:cs="Times New Roman"/>
          <w:i/>
          <w:iCs/>
        </w:rPr>
        <w:t>Talent abroad: A review of Greek emigrants</w:t>
      </w:r>
      <w:r>
        <w:rPr>
          <w:rFonts w:ascii="Times New Roman" w:eastAsia="Times New Roman" w:hAnsi="Times New Roman" w:cs="Times New Roman"/>
        </w:rPr>
        <w:t xml:space="preserve">. OECD Publishing. </w:t>
      </w:r>
      <w:hyperlink r:id="rId27">
        <w:r>
          <w:rPr>
            <w:rFonts w:ascii="Times New Roman" w:eastAsia="Times New Roman" w:hAnsi="Times New Roman" w:cs="Times New Roman"/>
            <w:color w:val="467886"/>
            <w:u w:val="single"/>
          </w:rPr>
          <w:t>https://doi.org/10.1787/729f06a5-en</w:t>
        </w:r>
      </w:hyperlink>
    </w:p>
    <w:p w14:paraId="402A7151" w14:textId="77777777" w:rsidR="00AC2A63" w:rsidRDefault="00000000" w:rsidP="002A7C9C">
      <w:pPr>
        <w:spacing w:line="240" w:lineRule="auto"/>
        <w:jc w:val="both"/>
        <w:rPr>
          <w:rFonts w:ascii="Times New Roman" w:eastAsia="Times New Roman" w:hAnsi="Times New Roman" w:cs="Times New Roman"/>
        </w:rPr>
      </w:pPr>
      <w:proofErr w:type="spellStart"/>
      <w:r w:rsidRPr="009D7F12">
        <w:rPr>
          <w:rFonts w:ascii="Times New Roman" w:eastAsia="Times New Roman" w:hAnsi="Times New Roman" w:cs="Times New Roman"/>
        </w:rPr>
        <w:t>Piore</w:t>
      </w:r>
      <w:proofErr w:type="spellEnd"/>
      <w:r w:rsidRPr="009D7F12">
        <w:rPr>
          <w:rFonts w:ascii="Times New Roman" w:eastAsia="Times New Roman" w:hAnsi="Times New Roman" w:cs="Times New Roman"/>
        </w:rPr>
        <w:t xml:space="preserve">, M. J. (1979). </w:t>
      </w:r>
      <w:r w:rsidRPr="009D7F12">
        <w:rPr>
          <w:rFonts w:ascii="Times New Roman" w:eastAsia="Times New Roman" w:hAnsi="Times New Roman" w:cs="Times New Roman"/>
          <w:i/>
          <w:iCs/>
        </w:rPr>
        <w:t>Birds of passage: Migrant labor and industrial societies</w:t>
      </w:r>
      <w:r w:rsidRPr="009D7F12">
        <w:rPr>
          <w:rFonts w:ascii="Times New Roman" w:eastAsia="Times New Roman" w:hAnsi="Times New Roman" w:cs="Times New Roman"/>
        </w:rPr>
        <w:t>. Cambridge University Press.</w:t>
      </w:r>
    </w:p>
    <w:p w14:paraId="374A19B3" w14:textId="77777777" w:rsidR="00AC2A63" w:rsidRDefault="00000000" w:rsidP="002A7C9C">
      <w:pPr>
        <w:spacing w:line="240" w:lineRule="auto"/>
        <w:jc w:val="both"/>
        <w:rPr>
          <w:rFonts w:ascii="Times New Roman" w:eastAsia="Times New Roman" w:hAnsi="Times New Roman" w:cs="Times New Roman"/>
        </w:rPr>
      </w:pPr>
      <w:r w:rsidRPr="009D7F12">
        <w:rPr>
          <w:rFonts w:ascii="Times New Roman" w:eastAsia="Times New Roman" w:hAnsi="Times New Roman" w:cs="Times New Roman"/>
        </w:rPr>
        <w:t xml:space="preserve">Public Employment Service (DYPA). (2023). </w:t>
      </w:r>
      <w:r w:rsidRPr="009D7F12">
        <w:rPr>
          <w:rFonts w:ascii="Times New Roman" w:eastAsia="Times New Roman" w:hAnsi="Times New Roman" w:cs="Times New Roman"/>
          <w:i/>
          <w:iCs/>
        </w:rPr>
        <w:t>Annual report of the labor market needs diagnosis mechanism</w:t>
      </w:r>
      <w:r w:rsidRPr="009D7F12">
        <w:rPr>
          <w:rFonts w:ascii="Times New Roman" w:eastAsia="Times New Roman" w:hAnsi="Times New Roman" w:cs="Times New Roman"/>
        </w:rPr>
        <w:t xml:space="preserve"> [In Greek].</w:t>
      </w:r>
    </w:p>
    <w:p w14:paraId="30C8C9BC" w14:textId="77777777" w:rsidR="00AC2A63" w:rsidRDefault="00000000" w:rsidP="002A7C9C">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Ragnedda</w:t>
      </w:r>
      <w:proofErr w:type="spellEnd"/>
      <w:r>
        <w:rPr>
          <w:rFonts w:ascii="Times New Roman" w:eastAsia="Times New Roman" w:hAnsi="Times New Roman" w:cs="Times New Roman"/>
        </w:rPr>
        <w:t xml:space="preserve">, M. (2018). Conceptualizing digital capital. </w:t>
      </w:r>
      <w:r>
        <w:rPr>
          <w:rFonts w:ascii="Times New Roman" w:eastAsia="Times New Roman" w:hAnsi="Times New Roman" w:cs="Times New Roman"/>
          <w:i/>
          <w:iCs/>
        </w:rPr>
        <w:t>Telematics and Informatics, 35</w:t>
      </w:r>
      <w:r>
        <w:rPr>
          <w:rFonts w:ascii="Times New Roman" w:eastAsia="Times New Roman" w:hAnsi="Times New Roman" w:cs="Times New Roman"/>
        </w:rPr>
        <w:t xml:space="preserve">(8), 2366–2375. </w:t>
      </w:r>
      <w:hyperlink r:id="rId28">
        <w:r>
          <w:rPr>
            <w:rFonts w:ascii="Times New Roman" w:eastAsia="Times New Roman" w:hAnsi="Times New Roman" w:cs="Times New Roman"/>
            <w:color w:val="467886"/>
            <w:u w:val="single"/>
          </w:rPr>
          <w:t>https://doi.org/10.1016/j.tele.2018.10.006</w:t>
        </w:r>
      </w:hyperlink>
    </w:p>
    <w:p w14:paraId="21F005BE" w14:textId="77777777" w:rsidR="00AC2A63" w:rsidRDefault="00000000" w:rsidP="002A7C9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Solow, R. M. (1956). A contribution to the theory of economic growth. </w:t>
      </w:r>
      <w:r>
        <w:rPr>
          <w:rFonts w:ascii="Times New Roman" w:eastAsia="Times New Roman" w:hAnsi="Times New Roman" w:cs="Times New Roman"/>
          <w:i/>
          <w:iCs/>
        </w:rPr>
        <w:t>The Quarterly Journal of Economics, 70</w:t>
      </w:r>
      <w:r>
        <w:rPr>
          <w:rFonts w:ascii="Times New Roman" w:eastAsia="Times New Roman" w:hAnsi="Times New Roman" w:cs="Times New Roman"/>
        </w:rPr>
        <w:t>(1), 65–94.</w:t>
      </w:r>
    </w:p>
    <w:p w14:paraId="101918B4" w14:textId="77777777" w:rsidR="00AC2A63" w:rsidRDefault="00000000" w:rsidP="002A7C9C">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Theofilakou</w:t>
      </w:r>
      <w:proofErr w:type="spellEnd"/>
      <w:r>
        <w:rPr>
          <w:rFonts w:ascii="Times New Roman" w:eastAsia="Times New Roman" w:hAnsi="Times New Roman" w:cs="Times New Roman"/>
        </w:rPr>
        <w:t xml:space="preserve">, A., &amp; </w:t>
      </w:r>
      <w:proofErr w:type="spellStart"/>
      <w:r>
        <w:rPr>
          <w:rFonts w:ascii="Times New Roman" w:eastAsia="Times New Roman" w:hAnsi="Times New Roman" w:cs="Times New Roman"/>
        </w:rPr>
        <w:t>Vasardani</w:t>
      </w:r>
      <w:proofErr w:type="spellEnd"/>
      <w:r>
        <w:rPr>
          <w:rFonts w:ascii="Times New Roman" w:eastAsia="Times New Roman" w:hAnsi="Times New Roman" w:cs="Times New Roman"/>
        </w:rPr>
        <w:t xml:space="preserve">, M. (2024).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xml:space="preserve"> market tightness in the post-COVID-19 era. </w:t>
      </w:r>
      <w:r>
        <w:rPr>
          <w:rFonts w:ascii="Times New Roman" w:eastAsia="Times New Roman" w:hAnsi="Times New Roman" w:cs="Times New Roman"/>
          <w:i/>
          <w:iCs/>
        </w:rPr>
        <w:t>Economic Bulletin, 59</w:t>
      </w:r>
      <w:r>
        <w:rPr>
          <w:rFonts w:ascii="Times New Roman" w:eastAsia="Times New Roman" w:hAnsi="Times New Roman" w:cs="Times New Roman"/>
        </w:rPr>
        <w:t xml:space="preserve">, 77–100. Bank of Greece. </w:t>
      </w:r>
      <w:hyperlink r:id="rId29">
        <w:r>
          <w:rPr>
            <w:rFonts w:ascii="Times New Roman" w:eastAsia="Times New Roman" w:hAnsi="Times New Roman" w:cs="Times New Roman"/>
            <w:color w:val="467886"/>
            <w:u w:val="single"/>
          </w:rPr>
          <w:t>https://doi.org/10.52903/econbull202459</w:t>
        </w:r>
      </w:hyperlink>
    </w:p>
    <w:p w14:paraId="2DD55A3A" w14:textId="77777777" w:rsidR="00AC2A63" w:rsidRDefault="00AC2A63">
      <w:pPr>
        <w:spacing w:line="360" w:lineRule="auto"/>
        <w:jc w:val="both"/>
        <w:rPr>
          <w:rFonts w:ascii="Times New Roman" w:eastAsia="Times New Roman" w:hAnsi="Times New Roman" w:cs="Times New Roman"/>
        </w:rPr>
      </w:pPr>
    </w:p>
    <w:sectPr w:rsidR="00AC2A63">
      <w:footerReference w:type="default" r:id="rId3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A59D5" w14:textId="77777777" w:rsidR="00945B1A" w:rsidRDefault="00945B1A" w:rsidP="00E01E19">
      <w:pPr>
        <w:spacing w:after="0" w:line="240" w:lineRule="auto"/>
      </w:pPr>
      <w:r>
        <w:separator/>
      </w:r>
    </w:p>
  </w:endnote>
  <w:endnote w:type="continuationSeparator" w:id="0">
    <w:p w14:paraId="365EBDCD" w14:textId="77777777" w:rsidR="00945B1A" w:rsidRDefault="00945B1A" w:rsidP="00E0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32672305-782F-4C56-A6AE-0D451AF41422}"/>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53AC1FDF-E984-4947-801C-C4D64A07B612}"/>
    <w:embedBold r:id="rId3" w:fontKey="{87491E4B-0F6E-465C-B97A-5FE4D3A46445}"/>
    <w:embedItalic r:id="rId4" w:fontKey="{3D9ABFDF-0B72-4AFD-BA0D-AD08FF391F37}"/>
  </w:font>
  <w:font w:name="Play">
    <w:charset w:val="00"/>
    <w:family w:val="auto"/>
    <w:pitch w:val="default"/>
    <w:embedRegular r:id="rId5" w:fontKey="{9D3048F2-1AAF-4E42-9C27-A63AD32FA195}"/>
  </w:font>
  <w:font w:name="Calibri">
    <w:panose1 w:val="020F0502020204030204"/>
    <w:charset w:val="00"/>
    <w:family w:val="swiss"/>
    <w:pitch w:val="variable"/>
    <w:sig w:usb0="E4002EFF" w:usb1="C200247B" w:usb2="00000009" w:usb3="00000000" w:csb0="000001FF" w:csb1="00000000"/>
    <w:embedRegular r:id="rId6" w:fontKey="{28CE8C9C-B628-4D1A-874C-50A64E8B7F15}"/>
  </w:font>
  <w:font w:name="Cambria">
    <w:panose1 w:val="02040503050406030204"/>
    <w:charset w:val="00"/>
    <w:family w:val="roman"/>
    <w:pitch w:val="variable"/>
    <w:sig w:usb0="E00006FF" w:usb1="420024FF" w:usb2="02000000" w:usb3="00000000" w:csb0="0000019F" w:csb1="00000000"/>
    <w:embedRegular r:id="rId7" w:fontKey="{0E0F8534-70F0-4AA6-9E0B-8E744FCDA02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038789"/>
      <w:docPartObj>
        <w:docPartGallery w:val="Page Numbers (Bottom of Page)"/>
        <w:docPartUnique/>
      </w:docPartObj>
    </w:sdtPr>
    <w:sdtEndPr>
      <w:rPr>
        <w:noProof/>
      </w:rPr>
    </w:sdtEndPr>
    <w:sdtContent>
      <w:p w14:paraId="399E9C98" w14:textId="1FD288CE" w:rsidR="00E01E19" w:rsidRDefault="00E01E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0D2A11" w14:textId="77777777" w:rsidR="00E01E19" w:rsidRDefault="00E01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9995F" w14:textId="77777777" w:rsidR="00945B1A" w:rsidRDefault="00945B1A" w:rsidP="00E01E19">
      <w:pPr>
        <w:spacing w:after="0" w:line="240" w:lineRule="auto"/>
      </w:pPr>
      <w:r>
        <w:separator/>
      </w:r>
    </w:p>
  </w:footnote>
  <w:footnote w:type="continuationSeparator" w:id="0">
    <w:p w14:paraId="415109E0" w14:textId="77777777" w:rsidR="00945B1A" w:rsidRDefault="00945B1A" w:rsidP="00E01E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6953"/>
    <w:multiLevelType w:val="multilevel"/>
    <w:tmpl w:val="B52AC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C1B7AA7"/>
    <w:multiLevelType w:val="multilevel"/>
    <w:tmpl w:val="7A5212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14C6D2A"/>
    <w:multiLevelType w:val="multilevel"/>
    <w:tmpl w:val="4790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A91F11"/>
    <w:multiLevelType w:val="hybridMultilevel"/>
    <w:tmpl w:val="0858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B32DC"/>
    <w:multiLevelType w:val="multilevel"/>
    <w:tmpl w:val="BC4C22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27E346B"/>
    <w:multiLevelType w:val="multilevel"/>
    <w:tmpl w:val="3188A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35348584">
    <w:abstractNumId w:val="5"/>
  </w:num>
  <w:num w:numId="2" w16cid:durableId="812717318">
    <w:abstractNumId w:val="4"/>
  </w:num>
  <w:num w:numId="3" w16cid:durableId="1130126614">
    <w:abstractNumId w:val="0"/>
  </w:num>
  <w:num w:numId="4" w16cid:durableId="1343245254">
    <w:abstractNumId w:val="1"/>
  </w:num>
  <w:num w:numId="5" w16cid:durableId="311956699">
    <w:abstractNumId w:val="3"/>
  </w:num>
  <w:num w:numId="6" w16cid:durableId="1497183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A63"/>
    <w:rsid w:val="00022FBD"/>
    <w:rsid w:val="00024248"/>
    <w:rsid w:val="00025E6E"/>
    <w:rsid w:val="00053794"/>
    <w:rsid w:val="00060100"/>
    <w:rsid w:val="000726E8"/>
    <w:rsid w:val="00094427"/>
    <w:rsid w:val="000A7732"/>
    <w:rsid w:val="000B6735"/>
    <w:rsid w:val="000C2CA6"/>
    <w:rsid w:val="000C535F"/>
    <w:rsid w:val="0010069A"/>
    <w:rsid w:val="00101320"/>
    <w:rsid w:val="0013280E"/>
    <w:rsid w:val="00141B2E"/>
    <w:rsid w:val="001B10C5"/>
    <w:rsid w:val="001B7E5B"/>
    <w:rsid w:val="002011ED"/>
    <w:rsid w:val="0022294C"/>
    <w:rsid w:val="00237303"/>
    <w:rsid w:val="00244490"/>
    <w:rsid w:val="00246B37"/>
    <w:rsid w:val="00247909"/>
    <w:rsid w:val="00262757"/>
    <w:rsid w:val="00272083"/>
    <w:rsid w:val="002A7C9C"/>
    <w:rsid w:val="002C6683"/>
    <w:rsid w:val="003212EC"/>
    <w:rsid w:val="00326905"/>
    <w:rsid w:val="00335196"/>
    <w:rsid w:val="00344216"/>
    <w:rsid w:val="003646B2"/>
    <w:rsid w:val="00382746"/>
    <w:rsid w:val="003868D8"/>
    <w:rsid w:val="003F2FC7"/>
    <w:rsid w:val="003F56C1"/>
    <w:rsid w:val="00440E7C"/>
    <w:rsid w:val="0047451F"/>
    <w:rsid w:val="004A53CD"/>
    <w:rsid w:val="004D2417"/>
    <w:rsid w:val="004D67D6"/>
    <w:rsid w:val="004E225F"/>
    <w:rsid w:val="004E59E5"/>
    <w:rsid w:val="00526125"/>
    <w:rsid w:val="00547B60"/>
    <w:rsid w:val="00555DA6"/>
    <w:rsid w:val="005A3C90"/>
    <w:rsid w:val="005A6063"/>
    <w:rsid w:val="005C60B7"/>
    <w:rsid w:val="005C63DA"/>
    <w:rsid w:val="005D5519"/>
    <w:rsid w:val="005E2828"/>
    <w:rsid w:val="005F4227"/>
    <w:rsid w:val="006017C4"/>
    <w:rsid w:val="00610F79"/>
    <w:rsid w:val="006110D5"/>
    <w:rsid w:val="00655A69"/>
    <w:rsid w:val="00657A15"/>
    <w:rsid w:val="00696E84"/>
    <w:rsid w:val="006B6A2B"/>
    <w:rsid w:val="006C14AC"/>
    <w:rsid w:val="006C5E8B"/>
    <w:rsid w:val="006E0DE8"/>
    <w:rsid w:val="006E312E"/>
    <w:rsid w:val="006F2EB0"/>
    <w:rsid w:val="007116EA"/>
    <w:rsid w:val="00730DC7"/>
    <w:rsid w:val="00732D5E"/>
    <w:rsid w:val="007459EB"/>
    <w:rsid w:val="007606DB"/>
    <w:rsid w:val="00775D83"/>
    <w:rsid w:val="00777F29"/>
    <w:rsid w:val="0078301B"/>
    <w:rsid w:val="007A5A8A"/>
    <w:rsid w:val="007E07B9"/>
    <w:rsid w:val="0081251D"/>
    <w:rsid w:val="00830FCB"/>
    <w:rsid w:val="00874AD4"/>
    <w:rsid w:val="008840AF"/>
    <w:rsid w:val="008A62BF"/>
    <w:rsid w:val="008B0B1B"/>
    <w:rsid w:val="008B3A47"/>
    <w:rsid w:val="008C39D6"/>
    <w:rsid w:val="008D0CB1"/>
    <w:rsid w:val="008D2859"/>
    <w:rsid w:val="008E7C68"/>
    <w:rsid w:val="009042BE"/>
    <w:rsid w:val="009061CA"/>
    <w:rsid w:val="009160E8"/>
    <w:rsid w:val="00930910"/>
    <w:rsid w:val="00931710"/>
    <w:rsid w:val="00945B1A"/>
    <w:rsid w:val="0097507E"/>
    <w:rsid w:val="00980DF1"/>
    <w:rsid w:val="009A619E"/>
    <w:rsid w:val="009B3C4F"/>
    <w:rsid w:val="009C5504"/>
    <w:rsid w:val="009D7F12"/>
    <w:rsid w:val="00A10D10"/>
    <w:rsid w:val="00A25682"/>
    <w:rsid w:val="00A257FC"/>
    <w:rsid w:val="00AB3BFA"/>
    <w:rsid w:val="00AC2A63"/>
    <w:rsid w:val="00AC474E"/>
    <w:rsid w:val="00AC611A"/>
    <w:rsid w:val="00AD5B51"/>
    <w:rsid w:val="00AD5C5B"/>
    <w:rsid w:val="00AF5453"/>
    <w:rsid w:val="00B12F51"/>
    <w:rsid w:val="00B26022"/>
    <w:rsid w:val="00B50DB9"/>
    <w:rsid w:val="00B65A3D"/>
    <w:rsid w:val="00B70E0E"/>
    <w:rsid w:val="00B93255"/>
    <w:rsid w:val="00BA6315"/>
    <w:rsid w:val="00BC247A"/>
    <w:rsid w:val="00BE62AA"/>
    <w:rsid w:val="00BF1D44"/>
    <w:rsid w:val="00C052E3"/>
    <w:rsid w:val="00C22CCE"/>
    <w:rsid w:val="00C339B7"/>
    <w:rsid w:val="00C340CD"/>
    <w:rsid w:val="00C450C0"/>
    <w:rsid w:val="00CB0724"/>
    <w:rsid w:val="00CB2E78"/>
    <w:rsid w:val="00CE44FA"/>
    <w:rsid w:val="00CF0DE9"/>
    <w:rsid w:val="00D114D8"/>
    <w:rsid w:val="00D16192"/>
    <w:rsid w:val="00D40C0A"/>
    <w:rsid w:val="00D82C77"/>
    <w:rsid w:val="00D878DD"/>
    <w:rsid w:val="00D9579B"/>
    <w:rsid w:val="00DA2A34"/>
    <w:rsid w:val="00DD0CB0"/>
    <w:rsid w:val="00DE2138"/>
    <w:rsid w:val="00E01862"/>
    <w:rsid w:val="00E01E19"/>
    <w:rsid w:val="00E24142"/>
    <w:rsid w:val="00E307A4"/>
    <w:rsid w:val="00E4484D"/>
    <w:rsid w:val="00E63924"/>
    <w:rsid w:val="00E95C16"/>
    <w:rsid w:val="00EA108F"/>
    <w:rsid w:val="00ED1711"/>
    <w:rsid w:val="00EF2CCA"/>
    <w:rsid w:val="00EF4218"/>
    <w:rsid w:val="00F02A95"/>
    <w:rsid w:val="00F127EA"/>
    <w:rsid w:val="00F16CDD"/>
    <w:rsid w:val="00F42387"/>
    <w:rsid w:val="00F44BCF"/>
    <w:rsid w:val="00F83CD1"/>
    <w:rsid w:val="00FB6FE4"/>
    <w:rsid w:val="00FC2ADD"/>
    <w:rsid w:val="00FD0762"/>
    <w:rsid w:val="00FE5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1805"/>
  <w15:docId w15:val="{1369DFFD-CFD4-4E3A-8938-B451058B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NormalWeb">
    <w:name w:val="Normal (Web)"/>
    <w:basedOn w:val="Normal"/>
    <w:uiPriority w:val="99"/>
    <w:semiHidden/>
    <w:unhideWhenUsed/>
    <w:rsid w:val="00BF1D44"/>
    <w:pPr>
      <w:spacing w:before="100" w:beforeAutospacing="1" w:after="100" w:afterAutospacing="1" w:line="240" w:lineRule="auto"/>
    </w:pPr>
    <w:rPr>
      <w:rFonts w:ascii="Times New Roman" w:eastAsia="Times New Roman" w:hAnsi="Times New Roman" w:cs="Times New Roman"/>
      <w:lang w:val="en-US"/>
    </w:rPr>
  </w:style>
  <w:style w:type="paragraph" w:styleId="TOC1">
    <w:name w:val="toc 1"/>
    <w:basedOn w:val="Normal"/>
    <w:next w:val="Normal"/>
    <w:autoRedefine/>
    <w:uiPriority w:val="39"/>
    <w:unhideWhenUsed/>
    <w:rsid w:val="0081251D"/>
    <w:pPr>
      <w:spacing w:after="100"/>
    </w:pPr>
  </w:style>
  <w:style w:type="paragraph" w:styleId="TOC2">
    <w:name w:val="toc 2"/>
    <w:basedOn w:val="Normal"/>
    <w:next w:val="Normal"/>
    <w:autoRedefine/>
    <w:uiPriority w:val="39"/>
    <w:unhideWhenUsed/>
    <w:rsid w:val="0081251D"/>
    <w:pPr>
      <w:spacing w:after="100"/>
      <w:ind w:left="240"/>
    </w:pPr>
  </w:style>
  <w:style w:type="paragraph" w:styleId="TOC3">
    <w:name w:val="toc 3"/>
    <w:basedOn w:val="Normal"/>
    <w:next w:val="Normal"/>
    <w:autoRedefine/>
    <w:uiPriority w:val="39"/>
    <w:unhideWhenUsed/>
    <w:rsid w:val="0081251D"/>
    <w:pPr>
      <w:spacing w:after="100"/>
      <w:ind w:left="480"/>
    </w:pPr>
  </w:style>
  <w:style w:type="character" w:styleId="Hyperlink">
    <w:name w:val="Hyperlink"/>
    <w:basedOn w:val="DefaultParagraphFont"/>
    <w:uiPriority w:val="99"/>
    <w:unhideWhenUsed/>
    <w:rsid w:val="0081251D"/>
    <w:rPr>
      <w:color w:val="0000FF" w:themeColor="hyperlink"/>
      <w:u w:val="single"/>
    </w:rPr>
  </w:style>
  <w:style w:type="paragraph" w:styleId="Header">
    <w:name w:val="header"/>
    <w:basedOn w:val="Normal"/>
    <w:link w:val="HeaderChar"/>
    <w:uiPriority w:val="99"/>
    <w:unhideWhenUsed/>
    <w:rsid w:val="00E01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E19"/>
  </w:style>
  <w:style w:type="paragraph" w:styleId="Footer">
    <w:name w:val="footer"/>
    <w:basedOn w:val="Normal"/>
    <w:link w:val="FooterChar"/>
    <w:uiPriority w:val="99"/>
    <w:unhideWhenUsed/>
    <w:rsid w:val="00E01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E19"/>
  </w:style>
  <w:style w:type="paragraph" w:styleId="TOCHeading">
    <w:name w:val="TOC Heading"/>
    <w:basedOn w:val="Heading1"/>
    <w:next w:val="Normal"/>
    <w:uiPriority w:val="39"/>
    <w:unhideWhenUsed/>
    <w:qFormat/>
    <w:rsid w:val="00E01E19"/>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Caption">
    <w:name w:val="caption"/>
    <w:basedOn w:val="Normal"/>
    <w:next w:val="Normal"/>
    <w:uiPriority w:val="35"/>
    <w:unhideWhenUsed/>
    <w:qFormat/>
    <w:rsid w:val="006E0DE8"/>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4E225F"/>
    <w:pPr>
      <w:spacing w:after="0"/>
    </w:pPr>
  </w:style>
  <w:style w:type="character" w:styleId="UnresolvedMention">
    <w:name w:val="Unresolved Mention"/>
    <w:basedOn w:val="DefaultParagraphFont"/>
    <w:uiPriority w:val="99"/>
    <w:semiHidden/>
    <w:unhideWhenUsed/>
    <w:rsid w:val="00BA6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93689">
      <w:bodyDiv w:val="1"/>
      <w:marLeft w:val="0"/>
      <w:marRight w:val="0"/>
      <w:marTop w:val="0"/>
      <w:marBottom w:val="0"/>
      <w:divBdr>
        <w:top w:val="none" w:sz="0" w:space="0" w:color="auto"/>
        <w:left w:val="none" w:sz="0" w:space="0" w:color="auto"/>
        <w:bottom w:val="none" w:sz="0" w:space="0" w:color="auto"/>
        <w:right w:val="none" w:sz="0" w:space="0" w:color="auto"/>
      </w:divBdr>
    </w:div>
    <w:div w:id="257371456">
      <w:bodyDiv w:val="1"/>
      <w:marLeft w:val="0"/>
      <w:marRight w:val="0"/>
      <w:marTop w:val="0"/>
      <w:marBottom w:val="0"/>
      <w:divBdr>
        <w:top w:val="none" w:sz="0" w:space="0" w:color="auto"/>
        <w:left w:val="none" w:sz="0" w:space="0" w:color="auto"/>
        <w:bottom w:val="none" w:sz="0" w:space="0" w:color="auto"/>
        <w:right w:val="none" w:sz="0" w:space="0" w:color="auto"/>
      </w:divBdr>
    </w:div>
    <w:div w:id="356203317">
      <w:bodyDiv w:val="1"/>
      <w:marLeft w:val="0"/>
      <w:marRight w:val="0"/>
      <w:marTop w:val="0"/>
      <w:marBottom w:val="0"/>
      <w:divBdr>
        <w:top w:val="none" w:sz="0" w:space="0" w:color="auto"/>
        <w:left w:val="none" w:sz="0" w:space="0" w:color="auto"/>
        <w:bottom w:val="none" w:sz="0" w:space="0" w:color="auto"/>
        <w:right w:val="none" w:sz="0" w:space="0" w:color="auto"/>
      </w:divBdr>
    </w:div>
    <w:div w:id="362945104">
      <w:bodyDiv w:val="1"/>
      <w:marLeft w:val="0"/>
      <w:marRight w:val="0"/>
      <w:marTop w:val="0"/>
      <w:marBottom w:val="0"/>
      <w:divBdr>
        <w:top w:val="none" w:sz="0" w:space="0" w:color="auto"/>
        <w:left w:val="none" w:sz="0" w:space="0" w:color="auto"/>
        <w:bottom w:val="none" w:sz="0" w:space="0" w:color="auto"/>
        <w:right w:val="none" w:sz="0" w:space="0" w:color="auto"/>
      </w:divBdr>
    </w:div>
    <w:div w:id="445388709">
      <w:bodyDiv w:val="1"/>
      <w:marLeft w:val="0"/>
      <w:marRight w:val="0"/>
      <w:marTop w:val="0"/>
      <w:marBottom w:val="0"/>
      <w:divBdr>
        <w:top w:val="none" w:sz="0" w:space="0" w:color="auto"/>
        <w:left w:val="none" w:sz="0" w:space="0" w:color="auto"/>
        <w:bottom w:val="none" w:sz="0" w:space="0" w:color="auto"/>
        <w:right w:val="none" w:sz="0" w:space="0" w:color="auto"/>
      </w:divBdr>
    </w:div>
    <w:div w:id="448595234">
      <w:bodyDiv w:val="1"/>
      <w:marLeft w:val="0"/>
      <w:marRight w:val="0"/>
      <w:marTop w:val="0"/>
      <w:marBottom w:val="0"/>
      <w:divBdr>
        <w:top w:val="none" w:sz="0" w:space="0" w:color="auto"/>
        <w:left w:val="none" w:sz="0" w:space="0" w:color="auto"/>
        <w:bottom w:val="none" w:sz="0" w:space="0" w:color="auto"/>
        <w:right w:val="none" w:sz="0" w:space="0" w:color="auto"/>
      </w:divBdr>
    </w:div>
    <w:div w:id="581256982">
      <w:bodyDiv w:val="1"/>
      <w:marLeft w:val="0"/>
      <w:marRight w:val="0"/>
      <w:marTop w:val="0"/>
      <w:marBottom w:val="0"/>
      <w:divBdr>
        <w:top w:val="none" w:sz="0" w:space="0" w:color="auto"/>
        <w:left w:val="none" w:sz="0" w:space="0" w:color="auto"/>
        <w:bottom w:val="none" w:sz="0" w:space="0" w:color="auto"/>
        <w:right w:val="none" w:sz="0" w:space="0" w:color="auto"/>
      </w:divBdr>
    </w:div>
    <w:div w:id="582102445">
      <w:bodyDiv w:val="1"/>
      <w:marLeft w:val="0"/>
      <w:marRight w:val="0"/>
      <w:marTop w:val="0"/>
      <w:marBottom w:val="0"/>
      <w:divBdr>
        <w:top w:val="none" w:sz="0" w:space="0" w:color="auto"/>
        <w:left w:val="none" w:sz="0" w:space="0" w:color="auto"/>
        <w:bottom w:val="none" w:sz="0" w:space="0" w:color="auto"/>
        <w:right w:val="none" w:sz="0" w:space="0" w:color="auto"/>
      </w:divBdr>
    </w:div>
    <w:div w:id="645165179">
      <w:bodyDiv w:val="1"/>
      <w:marLeft w:val="0"/>
      <w:marRight w:val="0"/>
      <w:marTop w:val="0"/>
      <w:marBottom w:val="0"/>
      <w:divBdr>
        <w:top w:val="none" w:sz="0" w:space="0" w:color="auto"/>
        <w:left w:val="none" w:sz="0" w:space="0" w:color="auto"/>
        <w:bottom w:val="none" w:sz="0" w:space="0" w:color="auto"/>
        <w:right w:val="none" w:sz="0" w:space="0" w:color="auto"/>
      </w:divBdr>
    </w:div>
    <w:div w:id="673262010">
      <w:bodyDiv w:val="1"/>
      <w:marLeft w:val="0"/>
      <w:marRight w:val="0"/>
      <w:marTop w:val="0"/>
      <w:marBottom w:val="0"/>
      <w:divBdr>
        <w:top w:val="none" w:sz="0" w:space="0" w:color="auto"/>
        <w:left w:val="none" w:sz="0" w:space="0" w:color="auto"/>
        <w:bottom w:val="none" w:sz="0" w:space="0" w:color="auto"/>
        <w:right w:val="none" w:sz="0" w:space="0" w:color="auto"/>
      </w:divBdr>
    </w:div>
    <w:div w:id="759370351">
      <w:bodyDiv w:val="1"/>
      <w:marLeft w:val="0"/>
      <w:marRight w:val="0"/>
      <w:marTop w:val="0"/>
      <w:marBottom w:val="0"/>
      <w:divBdr>
        <w:top w:val="none" w:sz="0" w:space="0" w:color="auto"/>
        <w:left w:val="none" w:sz="0" w:space="0" w:color="auto"/>
        <w:bottom w:val="none" w:sz="0" w:space="0" w:color="auto"/>
        <w:right w:val="none" w:sz="0" w:space="0" w:color="auto"/>
      </w:divBdr>
      <w:divsChild>
        <w:div w:id="1330867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041311">
      <w:bodyDiv w:val="1"/>
      <w:marLeft w:val="0"/>
      <w:marRight w:val="0"/>
      <w:marTop w:val="0"/>
      <w:marBottom w:val="0"/>
      <w:divBdr>
        <w:top w:val="none" w:sz="0" w:space="0" w:color="auto"/>
        <w:left w:val="none" w:sz="0" w:space="0" w:color="auto"/>
        <w:bottom w:val="none" w:sz="0" w:space="0" w:color="auto"/>
        <w:right w:val="none" w:sz="0" w:space="0" w:color="auto"/>
      </w:divBdr>
      <w:divsChild>
        <w:div w:id="299194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4685797">
      <w:bodyDiv w:val="1"/>
      <w:marLeft w:val="0"/>
      <w:marRight w:val="0"/>
      <w:marTop w:val="0"/>
      <w:marBottom w:val="0"/>
      <w:divBdr>
        <w:top w:val="none" w:sz="0" w:space="0" w:color="auto"/>
        <w:left w:val="none" w:sz="0" w:space="0" w:color="auto"/>
        <w:bottom w:val="none" w:sz="0" w:space="0" w:color="auto"/>
        <w:right w:val="none" w:sz="0" w:space="0" w:color="auto"/>
      </w:divBdr>
      <w:divsChild>
        <w:div w:id="594940593">
          <w:marLeft w:val="0"/>
          <w:marRight w:val="0"/>
          <w:marTop w:val="180"/>
          <w:marBottom w:val="240"/>
          <w:divBdr>
            <w:top w:val="none" w:sz="0" w:space="0" w:color="auto"/>
            <w:left w:val="none" w:sz="0" w:space="0" w:color="auto"/>
            <w:bottom w:val="none" w:sz="0" w:space="0" w:color="auto"/>
            <w:right w:val="none" w:sz="0" w:space="0" w:color="auto"/>
          </w:divBdr>
        </w:div>
      </w:divsChild>
    </w:div>
    <w:div w:id="914824565">
      <w:bodyDiv w:val="1"/>
      <w:marLeft w:val="0"/>
      <w:marRight w:val="0"/>
      <w:marTop w:val="0"/>
      <w:marBottom w:val="0"/>
      <w:divBdr>
        <w:top w:val="none" w:sz="0" w:space="0" w:color="auto"/>
        <w:left w:val="none" w:sz="0" w:space="0" w:color="auto"/>
        <w:bottom w:val="none" w:sz="0" w:space="0" w:color="auto"/>
        <w:right w:val="none" w:sz="0" w:space="0" w:color="auto"/>
      </w:divBdr>
      <w:divsChild>
        <w:div w:id="1920406003">
          <w:marLeft w:val="0"/>
          <w:marRight w:val="0"/>
          <w:marTop w:val="180"/>
          <w:marBottom w:val="240"/>
          <w:divBdr>
            <w:top w:val="none" w:sz="0" w:space="0" w:color="auto"/>
            <w:left w:val="none" w:sz="0" w:space="0" w:color="auto"/>
            <w:bottom w:val="none" w:sz="0" w:space="0" w:color="auto"/>
            <w:right w:val="none" w:sz="0" w:space="0" w:color="auto"/>
          </w:divBdr>
        </w:div>
        <w:div w:id="666902808">
          <w:marLeft w:val="0"/>
          <w:marRight w:val="0"/>
          <w:marTop w:val="180"/>
          <w:marBottom w:val="240"/>
          <w:divBdr>
            <w:top w:val="none" w:sz="0" w:space="0" w:color="auto"/>
            <w:left w:val="none" w:sz="0" w:space="0" w:color="auto"/>
            <w:bottom w:val="none" w:sz="0" w:space="0" w:color="auto"/>
            <w:right w:val="none" w:sz="0" w:space="0" w:color="auto"/>
          </w:divBdr>
        </w:div>
      </w:divsChild>
    </w:div>
    <w:div w:id="1093667629">
      <w:bodyDiv w:val="1"/>
      <w:marLeft w:val="0"/>
      <w:marRight w:val="0"/>
      <w:marTop w:val="0"/>
      <w:marBottom w:val="0"/>
      <w:divBdr>
        <w:top w:val="none" w:sz="0" w:space="0" w:color="auto"/>
        <w:left w:val="none" w:sz="0" w:space="0" w:color="auto"/>
        <w:bottom w:val="none" w:sz="0" w:space="0" w:color="auto"/>
        <w:right w:val="none" w:sz="0" w:space="0" w:color="auto"/>
      </w:divBdr>
      <w:divsChild>
        <w:div w:id="158353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0591507">
      <w:bodyDiv w:val="1"/>
      <w:marLeft w:val="0"/>
      <w:marRight w:val="0"/>
      <w:marTop w:val="0"/>
      <w:marBottom w:val="0"/>
      <w:divBdr>
        <w:top w:val="none" w:sz="0" w:space="0" w:color="auto"/>
        <w:left w:val="none" w:sz="0" w:space="0" w:color="auto"/>
        <w:bottom w:val="none" w:sz="0" w:space="0" w:color="auto"/>
        <w:right w:val="none" w:sz="0" w:space="0" w:color="auto"/>
      </w:divBdr>
      <w:divsChild>
        <w:div w:id="486629211">
          <w:marLeft w:val="0"/>
          <w:marRight w:val="0"/>
          <w:marTop w:val="180"/>
          <w:marBottom w:val="240"/>
          <w:divBdr>
            <w:top w:val="none" w:sz="0" w:space="0" w:color="auto"/>
            <w:left w:val="none" w:sz="0" w:space="0" w:color="auto"/>
            <w:bottom w:val="none" w:sz="0" w:space="0" w:color="auto"/>
            <w:right w:val="none" w:sz="0" w:space="0" w:color="auto"/>
          </w:divBdr>
        </w:div>
      </w:divsChild>
    </w:div>
    <w:div w:id="1243416416">
      <w:bodyDiv w:val="1"/>
      <w:marLeft w:val="0"/>
      <w:marRight w:val="0"/>
      <w:marTop w:val="0"/>
      <w:marBottom w:val="0"/>
      <w:divBdr>
        <w:top w:val="none" w:sz="0" w:space="0" w:color="auto"/>
        <w:left w:val="none" w:sz="0" w:space="0" w:color="auto"/>
        <w:bottom w:val="none" w:sz="0" w:space="0" w:color="auto"/>
        <w:right w:val="none" w:sz="0" w:space="0" w:color="auto"/>
      </w:divBdr>
      <w:divsChild>
        <w:div w:id="388529983">
          <w:marLeft w:val="0"/>
          <w:marRight w:val="0"/>
          <w:marTop w:val="180"/>
          <w:marBottom w:val="240"/>
          <w:divBdr>
            <w:top w:val="none" w:sz="0" w:space="0" w:color="auto"/>
            <w:left w:val="none" w:sz="0" w:space="0" w:color="auto"/>
            <w:bottom w:val="none" w:sz="0" w:space="0" w:color="auto"/>
            <w:right w:val="none" w:sz="0" w:space="0" w:color="auto"/>
          </w:divBdr>
        </w:div>
      </w:divsChild>
    </w:div>
    <w:div w:id="1246568336">
      <w:bodyDiv w:val="1"/>
      <w:marLeft w:val="0"/>
      <w:marRight w:val="0"/>
      <w:marTop w:val="0"/>
      <w:marBottom w:val="0"/>
      <w:divBdr>
        <w:top w:val="none" w:sz="0" w:space="0" w:color="auto"/>
        <w:left w:val="none" w:sz="0" w:space="0" w:color="auto"/>
        <w:bottom w:val="none" w:sz="0" w:space="0" w:color="auto"/>
        <w:right w:val="none" w:sz="0" w:space="0" w:color="auto"/>
      </w:divBdr>
    </w:div>
    <w:div w:id="1262569949">
      <w:bodyDiv w:val="1"/>
      <w:marLeft w:val="0"/>
      <w:marRight w:val="0"/>
      <w:marTop w:val="0"/>
      <w:marBottom w:val="0"/>
      <w:divBdr>
        <w:top w:val="none" w:sz="0" w:space="0" w:color="auto"/>
        <w:left w:val="none" w:sz="0" w:space="0" w:color="auto"/>
        <w:bottom w:val="none" w:sz="0" w:space="0" w:color="auto"/>
        <w:right w:val="none" w:sz="0" w:space="0" w:color="auto"/>
      </w:divBdr>
      <w:divsChild>
        <w:div w:id="203948187">
          <w:marLeft w:val="0"/>
          <w:marRight w:val="0"/>
          <w:marTop w:val="180"/>
          <w:marBottom w:val="240"/>
          <w:divBdr>
            <w:top w:val="none" w:sz="0" w:space="0" w:color="auto"/>
            <w:left w:val="none" w:sz="0" w:space="0" w:color="auto"/>
            <w:bottom w:val="none" w:sz="0" w:space="0" w:color="auto"/>
            <w:right w:val="none" w:sz="0" w:space="0" w:color="auto"/>
          </w:divBdr>
        </w:div>
      </w:divsChild>
    </w:div>
    <w:div w:id="1310328333">
      <w:bodyDiv w:val="1"/>
      <w:marLeft w:val="0"/>
      <w:marRight w:val="0"/>
      <w:marTop w:val="0"/>
      <w:marBottom w:val="0"/>
      <w:divBdr>
        <w:top w:val="none" w:sz="0" w:space="0" w:color="auto"/>
        <w:left w:val="none" w:sz="0" w:space="0" w:color="auto"/>
        <w:bottom w:val="none" w:sz="0" w:space="0" w:color="auto"/>
        <w:right w:val="none" w:sz="0" w:space="0" w:color="auto"/>
      </w:divBdr>
      <w:divsChild>
        <w:div w:id="820729734">
          <w:marLeft w:val="0"/>
          <w:marRight w:val="0"/>
          <w:marTop w:val="180"/>
          <w:marBottom w:val="240"/>
          <w:divBdr>
            <w:top w:val="none" w:sz="0" w:space="0" w:color="auto"/>
            <w:left w:val="none" w:sz="0" w:space="0" w:color="auto"/>
            <w:bottom w:val="none" w:sz="0" w:space="0" w:color="auto"/>
            <w:right w:val="none" w:sz="0" w:space="0" w:color="auto"/>
          </w:divBdr>
        </w:div>
        <w:div w:id="1075275251">
          <w:marLeft w:val="0"/>
          <w:marRight w:val="0"/>
          <w:marTop w:val="180"/>
          <w:marBottom w:val="240"/>
          <w:divBdr>
            <w:top w:val="none" w:sz="0" w:space="0" w:color="auto"/>
            <w:left w:val="none" w:sz="0" w:space="0" w:color="auto"/>
            <w:bottom w:val="none" w:sz="0" w:space="0" w:color="auto"/>
            <w:right w:val="none" w:sz="0" w:space="0" w:color="auto"/>
          </w:divBdr>
        </w:div>
      </w:divsChild>
    </w:div>
    <w:div w:id="1314482578">
      <w:bodyDiv w:val="1"/>
      <w:marLeft w:val="0"/>
      <w:marRight w:val="0"/>
      <w:marTop w:val="0"/>
      <w:marBottom w:val="0"/>
      <w:divBdr>
        <w:top w:val="none" w:sz="0" w:space="0" w:color="auto"/>
        <w:left w:val="none" w:sz="0" w:space="0" w:color="auto"/>
        <w:bottom w:val="none" w:sz="0" w:space="0" w:color="auto"/>
        <w:right w:val="none" w:sz="0" w:space="0" w:color="auto"/>
      </w:divBdr>
    </w:div>
    <w:div w:id="1349213488">
      <w:bodyDiv w:val="1"/>
      <w:marLeft w:val="0"/>
      <w:marRight w:val="0"/>
      <w:marTop w:val="0"/>
      <w:marBottom w:val="0"/>
      <w:divBdr>
        <w:top w:val="none" w:sz="0" w:space="0" w:color="auto"/>
        <w:left w:val="none" w:sz="0" w:space="0" w:color="auto"/>
        <w:bottom w:val="none" w:sz="0" w:space="0" w:color="auto"/>
        <w:right w:val="none" w:sz="0" w:space="0" w:color="auto"/>
      </w:divBdr>
      <w:divsChild>
        <w:div w:id="963727815">
          <w:marLeft w:val="0"/>
          <w:marRight w:val="0"/>
          <w:marTop w:val="0"/>
          <w:marBottom w:val="240"/>
          <w:divBdr>
            <w:top w:val="none" w:sz="0" w:space="0" w:color="auto"/>
            <w:left w:val="none" w:sz="0" w:space="0" w:color="auto"/>
            <w:bottom w:val="none" w:sz="0" w:space="0" w:color="auto"/>
            <w:right w:val="none" w:sz="0" w:space="0" w:color="auto"/>
          </w:divBdr>
        </w:div>
      </w:divsChild>
    </w:div>
    <w:div w:id="1358889074">
      <w:bodyDiv w:val="1"/>
      <w:marLeft w:val="0"/>
      <w:marRight w:val="0"/>
      <w:marTop w:val="0"/>
      <w:marBottom w:val="0"/>
      <w:divBdr>
        <w:top w:val="none" w:sz="0" w:space="0" w:color="auto"/>
        <w:left w:val="none" w:sz="0" w:space="0" w:color="auto"/>
        <w:bottom w:val="none" w:sz="0" w:space="0" w:color="auto"/>
        <w:right w:val="none" w:sz="0" w:space="0" w:color="auto"/>
      </w:divBdr>
    </w:div>
    <w:div w:id="1379088378">
      <w:bodyDiv w:val="1"/>
      <w:marLeft w:val="0"/>
      <w:marRight w:val="0"/>
      <w:marTop w:val="0"/>
      <w:marBottom w:val="0"/>
      <w:divBdr>
        <w:top w:val="none" w:sz="0" w:space="0" w:color="auto"/>
        <w:left w:val="none" w:sz="0" w:space="0" w:color="auto"/>
        <w:bottom w:val="none" w:sz="0" w:space="0" w:color="auto"/>
        <w:right w:val="none" w:sz="0" w:space="0" w:color="auto"/>
      </w:divBdr>
    </w:div>
    <w:div w:id="1524132290">
      <w:bodyDiv w:val="1"/>
      <w:marLeft w:val="0"/>
      <w:marRight w:val="0"/>
      <w:marTop w:val="0"/>
      <w:marBottom w:val="0"/>
      <w:divBdr>
        <w:top w:val="none" w:sz="0" w:space="0" w:color="auto"/>
        <w:left w:val="none" w:sz="0" w:space="0" w:color="auto"/>
        <w:bottom w:val="none" w:sz="0" w:space="0" w:color="auto"/>
        <w:right w:val="none" w:sz="0" w:space="0" w:color="auto"/>
      </w:divBdr>
      <w:divsChild>
        <w:div w:id="1822233834">
          <w:marLeft w:val="0"/>
          <w:marRight w:val="0"/>
          <w:marTop w:val="180"/>
          <w:marBottom w:val="240"/>
          <w:divBdr>
            <w:top w:val="none" w:sz="0" w:space="0" w:color="auto"/>
            <w:left w:val="none" w:sz="0" w:space="0" w:color="auto"/>
            <w:bottom w:val="none" w:sz="0" w:space="0" w:color="auto"/>
            <w:right w:val="none" w:sz="0" w:space="0" w:color="auto"/>
          </w:divBdr>
        </w:div>
      </w:divsChild>
    </w:div>
    <w:div w:id="1618681527">
      <w:bodyDiv w:val="1"/>
      <w:marLeft w:val="0"/>
      <w:marRight w:val="0"/>
      <w:marTop w:val="0"/>
      <w:marBottom w:val="0"/>
      <w:divBdr>
        <w:top w:val="none" w:sz="0" w:space="0" w:color="auto"/>
        <w:left w:val="none" w:sz="0" w:space="0" w:color="auto"/>
        <w:bottom w:val="none" w:sz="0" w:space="0" w:color="auto"/>
        <w:right w:val="none" w:sz="0" w:space="0" w:color="auto"/>
      </w:divBdr>
      <w:divsChild>
        <w:div w:id="1911384147">
          <w:marLeft w:val="0"/>
          <w:marRight w:val="0"/>
          <w:marTop w:val="180"/>
          <w:marBottom w:val="240"/>
          <w:divBdr>
            <w:top w:val="none" w:sz="0" w:space="0" w:color="auto"/>
            <w:left w:val="none" w:sz="0" w:space="0" w:color="auto"/>
            <w:bottom w:val="none" w:sz="0" w:space="0" w:color="auto"/>
            <w:right w:val="none" w:sz="0" w:space="0" w:color="auto"/>
          </w:divBdr>
        </w:div>
        <w:div w:id="1793206724">
          <w:marLeft w:val="0"/>
          <w:marRight w:val="0"/>
          <w:marTop w:val="180"/>
          <w:marBottom w:val="240"/>
          <w:divBdr>
            <w:top w:val="none" w:sz="0" w:space="0" w:color="auto"/>
            <w:left w:val="none" w:sz="0" w:space="0" w:color="auto"/>
            <w:bottom w:val="none" w:sz="0" w:space="0" w:color="auto"/>
            <w:right w:val="none" w:sz="0" w:space="0" w:color="auto"/>
          </w:divBdr>
        </w:div>
      </w:divsChild>
    </w:div>
    <w:div w:id="1881283447">
      <w:bodyDiv w:val="1"/>
      <w:marLeft w:val="0"/>
      <w:marRight w:val="0"/>
      <w:marTop w:val="0"/>
      <w:marBottom w:val="0"/>
      <w:divBdr>
        <w:top w:val="none" w:sz="0" w:space="0" w:color="auto"/>
        <w:left w:val="none" w:sz="0" w:space="0" w:color="auto"/>
        <w:bottom w:val="none" w:sz="0" w:space="0" w:color="auto"/>
        <w:right w:val="none" w:sz="0" w:space="0" w:color="auto"/>
      </w:divBdr>
      <w:divsChild>
        <w:div w:id="86529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5918112">
      <w:bodyDiv w:val="1"/>
      <w:marLeft w:val="0"/>
      <w:marRight w:val="0"/>
      <w:marTop w:val="0"/>
      <w:marBottom w:val="0"/>
      <w:divBdr>
        <w:top w:val="none" w:sz="0" w:space="0" w:color="auto"/>
        <w:left w:val="none" w:sz="0" w:space="0" w:color="auto"/>
        <w:bottom w:val="none" w:sz="0" w:space="0" w:color="auto"/>
        <w:right w:val="none" w:sz="0" w:space="0" w:color="auto"/>
      </w:divBdr>
      <w:divsChild>
        <w:div w:id="1081221399">
          <w:marLeft w:val="0"/>
          <w:marRight w:val="0"/>
          <w:marTop w:val="0"/>
          <w:marBottom w:val="240"/>
          <w:divBdr>
            <w:top w:val="none" w:sz="0" w:space="0" w:color="auto"/>
            <w:left w:val="none" w:sz="0" w:space="0" w:color="auto"/>
            <w:bottom w:val="none" w:sz="0" w:space="0" w:color="auto"/>
            <w:right w:val="none" w:sz="0" w:space="0" w:color="auto"/>
          </w:divBdr>
        </w:div>
      </w:divsChild>
    </w:div>
    <w:div w:id="1930381905">
      <w:bodyDiv w:val="1"/>
      <w:marLeft w:val="0"/>
      <w:marRight w:val="0"/>
      <w:marTop w:val="0"/>
      <w:marBottom w:val="0"/>
      <w:divBdr>
        <w:top w:val="none" w:sz="0" w:space="0" w:color="auto"/>
        <w:left w:val="none" w:sz="0" w:space="0" w:color="auto"/>
        <w:bottom w:val="none" w:sz="0" w:space="0" w:color="auto"/>
        <w:right w:val="none" w:sz="0" w:space="0" w:color="auto"/>
      </w:divBdr>
    </w:div>
    <w:div w:id="1955862948">
      <w:bodyDiv w:val="1"/>
      <w:marLeft w:val="0"/>
      <w:marRight w:val="0"/>
      <w:marTop w:val="0"/>
      <w:marBottom w:val="0"/>
      <w:divBdr>
        <w:top w:val="none" w:sz="0" w:space="0" w:color="auto"/>
        <w:left w:val="none" w:sz="0" w:space="0" w:color="auto"/>
        <w:bottom w:val="none" w:sz="0" w:space="0" w:color="auto"/>
        <w:right w:val="none" w:sz="0" w:space="0" w:color="auto"/>
      </w:divBdr>
      <w:divsChild>
        <w:div w:id="879897643">
          <w:marLeft w:val="0"/>
          <w:marRight w:val="0"/>
          <w:marTop w:val="180"/>
          <w:marBottom w:val="240"/>
          <w:divBdr>
            <w:top w:val="none" w:sz="0" w:space="0" w:color="auto"/>
            <w:left w:val="none" w:sz="0" w:space="0" w:color="auto"/>
            <w:bottom w:val="none" w:sz="0" w:space="0" w:color="auto"/>
            <w:right w:val="none" w:sz="0" w:space="0" w:color="auto"/>
          </w:divBdr>
        </w:div>
        <w:div w:id="29957902">
          <w:marLeft w:val="0"/>
          <w:marRight w:val="0"/>
          <w:marTop w:val="180"/>
          <w:marBottom w:val="240"/>
          <w:divBdr>
            <w:top w:val="none" w:sz="0" w:space="0" w:color="auto"/>
            <w:left w:val="none" w:sz="0" w:space="0" w:color="auto"/>
            <w:bottom w:val="none" w:sz="0" w:space="0" w:color="auto"/>
            <w:right w:val="none" w:sz="0" w:space="0" w:color="auto"/>
          </w:divBdr>
        </w:div>
      </w:divsChild>
    </w:div>
    <w:div w:id="2125417336">
      <w:bodyDiv w:val="1"/>
      <w:marLeft w:val="0"/>
      <w:marRight w:val="0"/>
      <w:marTop w:val="0"/>
      <w:marBottom w:val="0"/>
      <w:divBdr>
        <w:top w:val="none" w:sz="0" w:space="0" w:color="auto"/>
        <w:left w:val="none" w:sz="0" w:space="0" w:color="auto"/>
        <w:bottom w:val="none" w:sz="0" w:space="0" w:color="auto"/>
        <w:right w:val="none" w:sz="0" w:space="0" w:color="auto"/>
      </w:divBdr>
      <w:divsChild>
        <w:div w:id="1910844265">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ww.ela.europa.eu/en/publications/labour-shortages-and-surpluses-europe-2023" TargetMode="External"/><Relationship Id="rId26" Type="http://schemas.openxmlformats.org/officeDocument/2006/relationships/hyperlink" Target="https://www.knowledgebridges.gr/" TargetMode="External"/><Relationship Id="rId3" Type="http://schemas.openxmlformats.org/officeDocument/2006/relationships/numbering" Target="numbering.xml"/><Relationship Id="rId21" Type="http://schemas.openxmlformats.org/officeDocument/2006/relationships/hyperlink" Target="https://ec.europa.eu/eurostat/databrowser/view/jvs_a_rate_r2/default/table?lang=en"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home-affairs.ec.europa.eu/policies/migration-and-asylum/pact-migration-and-asylum_el" TargetMode="External"/><Relationship Id="rId25" Type="http://schemas.openxmlformats.org/officeDocument/2006/relationships/hyperlink" Target="https://doi.org/10.1080/1369118X.2017.1301519" TargetMode="External"/><Relationship Id="rId2" Type="http://schemas.openxmlformats.org/officeDocument/2006/relationships/customXml" Target="../customXml/item2.xml"/><Relationship Id="rId16" Type="http://schemas.openxmlformats.org/officeDocument/2006/relationships/hyperlink" Target="https://www.cedefop.europa.eu/en/publications/2025-skills-forecast-greece" TargetMode="External"/><Relationship Id="rId20" Type="http://schemas.openxmlformats.org/officeDocument/2006/relationships/hyperlink" Target="https://www.google.com/search?q=https://doi.org/10.2908/migr_resbc12" TargetMode="External"/><Relationship Id="rId29" Type="http://schemas.openxmlformats.org/officeDocument/2006/relationships/hyperlink" Target="https://doi.org/10.52903/econbull20245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statistics.gr/el/statistics/-/publication/SAM03/-"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capital.gr/oikonomia/3955182/pros-nea-kinitra-gia-proselkusi-xenon-forologikon-katoikon/" TargetMode="External"/><Relationship Id="rId23" Type="http://schemas.openxmlformats.org/officeDocument/2006/relationships/hyperlink" Target="https://www.statistics.gr/el/statistics/-/publication/SAM03/-" TargetMode="External"/><Relationship Id="rId28" Type="http://schemas.openxmlformats.org/officeDocument/2006/relationships/hyperlink" Target="https://doi.org/10.1016/j.tele.2018.10.006" TargetMode="External"/><Relationship Id="rId10" Type="http://schemas.openxmlformats.org/officeDocument/2006/relationships/image" Target="media/image2.png"/><Relationship Id="rId19" Type="http://schemas.openxmlformats.org/officeDocument/2006/relationships/hyperlink" Target="http://data.europa.eu/eli/reg/2026/1047/oj"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ec.europa.eu/eurostat/databrowser/view/une_rt_q/default/table?lang=en" TargetMode="External"/><Relationship Id="rId27" Type="http://schemas.openxmlformats.org/officeDocument/2006/relationships/hyperlink" Target="https://doi.org/10.1787/729f06a5-en"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a++Q6k8b+oVyAh7tJmrMVBDRyg==">CgMxLjAyDmgubXY0dWd0ZWFveWxhMg5oLmdua2djZnh3c3l2NTIOaC53YTk2Nmw1Ym92dTEyDmgub2N0MW5xeWkyeGg5Mg5oLnBjbW04eTNsM3E5bDIOaC43ampydmhlYjA4YWIyDmguaGNjMjd5ZDJrMXI5Mg5oLmNiNHVpYjM2N3MxdDIOaC43bWQ2bnIyZTh4bWoyDmguamc5d3QydDBtdXl2Mg5oLmZpNHY0anZiNWo4ZDIOaC40ZTVsNGF5MnZycjIyDmguZnFpMDloeWxvMDVwMg5oLnIzNDZrdTlpcGhpZDIOaC5tZ2h3a2Rrd2draW84AHIhMVRRaEQxMkM3bXlFcVczOEpZMkMtY3JmdFRfX0RObTZF</go:docsCustomData>
</go:gDocsCustomXmlDataStorage>
</file>

<file path=customXml/itemProps1.xml><?xml version="1.0" encoding="utf-8"?>
<ds:datastoreItem xmlns:ds="http://schemas.openxmlformats.org/officeDocument/2006/customXml" ds:itemID="{B56696AC-4C01-4799-98E3-6F33263167E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3265</TotalTime>
  <Pages>34</Pages>
  <Words>8237</Words>
  <Characters>46952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Stratis Adalis</cp:lastModifiedBy>
  <cp:revision>119</cp:revision>
  <dcterms:created xsi:type="dcterms:W3CDTF">2026-07-30T14:46:00Z</dcterms:created>
  <dcterms:modified xsi:type="dcterms:W3CDTF">2026-08-31T15:49:00Z</dcterms:modified>
</cp:coreProperties>
</file>